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A7" w:rsidRPr="00AE6FDF" w:rsidRDefault="005E7AA7" w:rsidP="005E7AA7">
      <w:pPr>
        <w:pStyle w:val="Heading1"/>
        <w:jc w:val="center"/>
        <w:rPr>
          <w:rFonts w:ascii="Garamond" w:hAnsi="Garamond"/>
          <w:color w:val="auto"/>
          <w:sz w:val="22"/>
          <w:szCs w:val="22"/>
        </w:rPr>
      </w:pPr>
      <w:r>
        <w:rPr>
          <w:rFonts w:ascii="Garamond" w:hAnsi="Garamond"/>
          <w:noProof/>
          <w:color w:val="auto"/>
          <w:sz w:val="22"/>
          <w:szCs w:val="22"/>
          <w:lang w:val="en-GB" w:eastAsia="en-GB"/>
        </w:rPr>
        <w:drawing>
          <wp:inline distT="0" distB="0" distL="0" distR="0">
            <wp:extent cx="3162300" cy="1905000"/>
            <wp:effectExtent l="0" t="0" r="0" b="0"/>
            <wp:docPr id="4" name="Picture 4"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5E7AA7" w:rsidRPr="00E05C6F" w:rsidRDefault="005E7AA7" w:rsidP="005E7AA7">
      <w:pPr>
        <w:rPr>
          <w:rFonts w:ascii="Garamond" w:hAnsi="Garamond"/>
          <w:sz w:val="28"/>
          <w:szCs w:val="28"/>
          <w:lang w:eastAsia="en-US"/>
        </w:rPr>
      </w:pPr>
    </w:p>
    <w:p w:rsidR="005E7AA7" w:rsidRPr="001C3DAD" w:rsidRDefault="005E7AA7" w:rsidP="005E7AA7">
      <w:pPr>
        <w:jc w:val="center"/>
        <w:rPr>
          <w:rFonts w:ascii="Trajan Pro" w:hAnsi="Trajan Pro"/>
          <w:lang w:eastAsia="en-US"/>
        </w:rPr>
      </w:pPr>
      <w:r>
        <w:rPr>
          <w:rFonts w:ascii="Trajan Pro" w:hAnsi="Trajan Pro"/>
          <w:lang w:eastAsia="en-US"/>
        </w:rPr>
        <w:t>19</w:t>
      </w:r>
      <w:r w:rsidRPr="001C3DAD">
        <w:rPr>
          <w:rFonts w:ascii="Trajan Pro" w:hAnsi="Trajan Pro"/>
          <w:lang w:eastAsia="en-US"/>
        </w:rPr>
        <w:t xml:space="preserve"> March 2014</w:t>
      </w:r>
    </w:p>
    <w:p w:rsidR="005E7AA7" w:rsidRPr="00D33FD2" w:rsidRDefault="005E7AA7" w:rsidP="005E7AA7">
      <w:pPr>
        <w:jc w:val="center"/>
        <w:rPr>
          <w:rFonts w:ascii="Trajan Pro" w:hAnsi="Trajan Pro"/>
          <w:sz w:val="28"/>
          <w:szCs w:val="28"/>
          <w:lang w:eastAsia="en-US"/>
        </w:rPr>
      </w:pPr>
    </w:p>
    <w:p w:rsidR="005E7AA7" w:rsidRDefault="005E7AA7" w:rsidP="005E7AA7">
      <w:pPr>
        <w:jc w:val="center"/>
        <w:rPr>
          <w:rFonts w:ascii="Trajan Pro" w:hAnsi="Trajan Pro"/>
          <w:b/>
          <w:sz w:val="36"/>
          <w:szCs w:val="28"/>
        </w:rPr>
      </w:pPr>
      <w:r>
        <w:rPr>
          <w:rFonts w:ascii="Trajan Pro" w:hAnsi="Trajan Pro"/>
          <w:b/>
          <w:sz w:val="36"/>
          <w:szCs w:val="28"/>
        </w:rPr>
        <w:t>Globalisation and Children’s Diets:</w:t>
      </w:r>
    </w:p>
    <w:p w:rsidR="005E7AA7" w:rsidRPr="001C3DAD" w:rsidRDefault="005E7AA7" w:rsidP="005E7AA7">
      <w:pPr>
        <w:jc w:val="center"/>
        <w:rPr>
          <w:rFonts w:ascii="Trajan Pro" w:hAnsi="Trajan Pro"/>
          <w:b/>
          <w:sz w:val="28"/>
          <w:szCs w:val="28"/>
        </w:rPr>
      </w:pPr>
      <w:r>
        <w:rPr>
          <w:rFonts w:ascii="Trajan Pro" w:hAnsi="Trajan Pro"/>
          <w:b/>
          <w:sz w:val="36"/>
          <w:szCs w:val="28"/>
        </w:rPr>
        <w:t>The Case of the Maya of Mexico and Central America</w:t>
      </w:r>
    </w:p>
    <w:p w:rsidR="005E7AA7" w:rsidRDefault="005E7AA7" w:rsidP="005E7AA7">
      <w:pPr>
        <w:jc w:val="center"/>
        <w:rPr>
          <w:rFonts w:ascii="Garamond" w:hAnsi="Garamond"/>
          <w:sz w:val="28"/>
          <w:szCs w:val="28"/>
          <w:lang w:eastAsia="en-US"/>
        </w:rPr>
      </w:pPr>
    </w:p>
    <w:p w:rsidR="005E7AA7" w:rsidRDefault="005E7AA7" w:rsidP="005E7AA7">
      <w:pPr>
        <w:jc w:val="center"/>
        <w:rPr>
          <w:rFonts w:ascii="Trajan Pro" w:hAnsi="Trajan Pro"/>
          <w:sz w:val="28"/>
          <w:szCs w:val="28"/>
          <w:lang w:eastAsia="en-US"/>
        </w:rPr>
      </w:pPr>
      <w:r>
        <w:rPr>
          <w:rFonts w:ascii="Trajan Pro" w:hAnsi="Trajan Pro"/>
          <w:sz w:val="28"/>
          <w:szCs w:val="28"/>
          <w:lang w:eastAsia="en-US"/>
        </w:rPr>
        <w:t xml:space="preserve">Professor Barry </w:t>
      </w:r>
      <w:proofErr w:type="spellStart"/>
      <w:r>
        <w:rPr>
          <w:rFonts w:ascii="Trajan Pro" w:hAnsi="Trajan Pro"/>
          <w:sz w:val="28"/>
          <w:szCs w:val="28"/>
          <w:lang w:eastAsia="en-US"/>
        </w:rPr>
        <w:t>Bogin</w:t>
      </w:r>
      <w:proofErr w:type="spellEnd"/>
      <w:r>
        <w:rPr>
          <w:rFonts w:ascii="Trajan Pro" w:hAnsi="Trajan Pro"/>
          <w:sz w:val="28"/>
          <w:szCs w:val="28"/>
          <w:lang w:eastAsia="en-US"/>
        </w:rPr>
        <w:t xml:space="preserve"> and Dr Ines Varela-Silva</w:t>
      </w:r>
    </w:p>
    <w:p w:rsidR="005E7AA7" w:rsidRPr="001C3DAD" w:rsidRDefault="005E7AA7" w:rsidP="005E7AA7">
      <w:pPr>
        <w:jc w:val="center"/>
        <w:rPr>
          <w:rFonts w:ascii="Trajan Pro" w:hAnsi="Trajan Pro"/>
          <w:sz w:val="28"/>
          <w:szCs w:val="28"/>
          <w:lang w:eastAsia="en-US"/>
        </w:rPr>
      </w:pPr>
      <w:r>
        <w:rPr>
          <w:rFonts w:ascii="Trajan Pro" w:hAnsi="Trajan Pro"/>
          <w:sz w:val="28"/>
          <w:szCs w:val="28"/>
          <w:lang w:eastAsia="en-US"/>
        </w:rPr>
        <w:t>Loughborough University</w:t>
      </w:r>
    </w:p>
    <w:p w:rsidR="007A38DD" w:rsidRPr="007A38DD" w:rsidRDefault="007A38DD" w:rsidP="007A38DD">
      <w:pPr>
        <w:rPr>
          <w:lang w:val="en-US"/>
        </w:rPr>
      </w:pPr>
    </w:p>
    <w:p w:rsidR="00E37457" w:rsidRPr="005E7AA7" w:rsidRDefault="007A38DD" w:rsidP="007E0036">
      <w:pPr>
        <w:rPr>
          <w:rFonts w:ascii="Garamond" w:hAnsi="Garamond"/>
          <w:sz w:val="22"/>
          <w:szCs w:val="22"/>
          <w:lang w:val="en-US"/>
        </w:rPr>
      </w:pPr>
      <w:r w:rsidRPr="005E7AA7">
        <w:rPr>
          <w:rFonts w:ascii="Garamond" w:hAnsi="Garamond"/>
          <w:sz w:val="22"/>
          <w:szCs w:val="22"/>
        </w:rPr>
        <w:t xml:space="preserve">With the assistance Dr </w:t>
      </w:r>
      <w:r w:rsidR="00E37457" w:rsidRPr="005E7AA7">
        <w:rPr>
          <w:rFonts w:ascii="Garamond" w:hAnsi="Garamond"/>
          <w:sz w:val="22"/>
          <w:szCs w:val="22"/>
        </w:rPr>
        <w:t>Hug</w:t>
      </w:r>
      <w:r w:rsidR="00E37457" w:rsidRPr="005E7AA7">
        <w:rPr>
          <w:rFonts w:ascii="Garamond" w:hAnsi="Garamond"/>
          <w:sz w:val="22"/>
          <w:szCs w:val="22"/>
          <w:lang w:val="en-US"/>
        </w:rPr>
        <w:t>o Azcorra</w:t>
      </w:r>
      <w:r w:rsidRPr="005E7AA7">
        <w:rPr>
          <w:rFonts w:ascii="Garamond" w:hAnsi="Garamond"/>
          <w:sz w:val="22"/>
          <w:szCs w:val="22"/>
          <w:lang w:val="en-US"/>
        </w:rPr>
        <w:t>, Dr</w:t>
      </w:r>
      <w:r w:rsidR="00E37457" w:rsidRPr="005E7AA7">
        <w:rPr>
          <w:rFonts w:ascii="Garamond" w:hAnsi="Garamond"/>
          <w:sz w:val="22"/>
          <w:szCs w:val="22"/>
          <w:lang w:val="en-US"/>
        </w:rPr>
        <w:t xml:space="preserve"> </w:t>
      </w:r>
      <w:r w:rsidR="00FF46D8" w:rsidRPr="005E7AA7">
        <w:rPr>
          <w:rFonts w:ascii="Garamond" w:hAnsi="Garamond"/>
          <w:sz w:val="22"/>
          <w:szCs w:val="22"/>
          <w:lang w:val="en-US"/>
        </w:rPr>
        <w:t xml:space="preserve">Hannah Wilson, </w:t>
      </w:r>
      <w:r w:rsidRPr="005E7AA7">
        <w:rPr>
          <w:rFonts w:ascii="Garamond" w:hAnsi="Garamond"/>
          <w:sz w:val="22"/>
          <w:szCs w:val="22"/>
          <w:lang w:val="en-US"/>
        </w:rPr>
        <w:t xml:space="preserve">Ms </w:t>
      </w:r>
      <w:r w:rsidR="00E37457" w:rsidRPr="005E7AA7">
        <w:rPr>
          <w:rFonts w:ascii="Garamond" w:hAnsi="Garamond"/>
          <w:sz w:val="22"/>
          <w:szCs w:val="22"/>
          <w:lang w:val="en-US"/>
        </w:rPr>
        <w:t xml:space="preserve">Adriana </w:t>
      </w:r>
      <w:proofErr w:type="spellStart"/>
      <w:r w:rsidR="00E37457" w:rsidRPr="005E7AA7">
        <w:rPr>
          <w:rFonts w:ascii="Garamond" w:hAnsi="Garamond"/>
          <w:sz w:val="22"/>
          <w:szCs w:val="22"/>
          <w:lang w:val="en-US"/>
        </w:rPr>
        <w:t>Vázquez-Vázquez</w:t>
      </w:r>
      <w:proofErr w:type="spellEnd"/>
      <w:r w:rsidRPr="005E7AA7">
        <w:rPr>
          <w:rFonts w:ascii="Garamond" w:hAnsi="Garamond"/>
          <w:sz w:val="22"/>
          <w:szCs w:val="22"/>
          <w:lang w:val="en-US"/>
        </w:rPr>
        <w:t xml:space="preserve">, </w:t>
      </w:r>
      <w:proofErr w:type="spellStart"/>
      <w:r w:rsidRPr="005E7AA7">
        <w:rPr>
          <w:rFonts w:ascii="Garamond" w:hAnsi="Garamond"/>
          <w:sz w:val="22"/>
          <w:szCs w:val="22"/>
          <w:lang w:val="en-US"/>
        </w:rPr>
        <w:t>Ms</w:t>
      </w:r>
      <w:proofErr w:type="spellEnd"/>
      <w:r w:rsidR="00E37457" w:rsidRPr="005E7AA7">
        <w:rPr>
          <w:rFonts w:ascii="Garamond" w:hAnsi="Garamond"/>
          <w:sz w:val="22"/>
          <w:szCs w:val="22"/>
          <w:lang w:val="en-US"/>
        </w:rPr>
        <w:t xml:space="preserve"> </w:t>
      </w:r>
      <w:proofErr w:type="spellStart"/>
      <w:r w:rsidR="00FF46D8" w:rsidRPr="005E7AA7">
        <w:rPr>
          <w:rFonts w:ascii="Garamond" w:hAnsi="Garamond"/>
          <w:sz w:val="22"/>
          <w:szCs w:val="22"/>
          <w:lang w:val="en-US"/>
        </w:rPr>
        <w:t>María</w:t>
      </w:r>
      <w:proofErr w:type="spellEnd"/>
      <w:r w:rsidR="00FF46D8" w:rsidRPr="005E7AA7">
        <w:rPr>
          <w:rFonts w:ascii="Garamond" w:hAnsi="Garamond"/>
          <w:sz w:val="22"/>
          <w:szCs w:val="22"/>
          <w:lang w:val="en-US"/>
        </w:rPr>
        <w:t xml:space="preserve"> Luisa Avila, </w:t>
      </w:r>
      <w:proofErr w:type="spellStart"/>
      <w:r w:rsidRPr="005E7AA7">
        <w:rPr>
          <w:rFonts w:ascii="Garamond" w:hAnsi="Garamond"/>
          <w:sz w:val="22"/>
          <w:szCs w:val="22"/>
          <w:lang w:val="en-US"/>
        </w:rPr>
        <w:t>Dr</w:t>
      </w:r>
      <w:proofErr w:type="spellEnd"/>
      <w:r w:rsidRPr="005E7AA7">
        <w:rPr>
          <w:rFonts w:ascii="Garamond" w:hAnsi="Garamond"/>
          <w:sz w:val="22"/>
          <w:szCs w:val="22"/>
          <w:lang w:val="en-US"/>
        </w:rPr>
        <w:t xml:space="preserve"> </w:t>
      </w:r>
      <w:proofErr w:type="spellStart"/>
      <w:r w:rsidR="005F2143" w:rsidRPr="005E7AA7">
        <w:rPr>
          <w:rFonts w:ascii="Garamond" w:hAnsi="Garamond"/>
          <w:sz w:val="22"/>
          <w:szCs w:val="22"/>
          <w:lang w:val="en-US"/>
        </w:rPr>
        <w:t>Mar</w:t>
      </w:r>
      <w:r w:rsidR="00FF46D8" w:rsidRPr="005E7AA7">
        <w:rPr>
          <w:rFonts w:ascii="Garamond" w:hAnsi="Garamond"/>
          <w:sz w:val="22"/>
          <w:szCs w:val="22"/>
          <w:lang w:val="en-US"/>
        </w:rPr>
        <w:t>í</w:t>
      </w:r>
      <w:r w:rsidR="005F2143" w:rsidRPr="005E7AA7">
        <w:rPr>
          <w:rFonts w:ascii="Garamond" w:hAnsi="Garamond"/>
          <w:sz w:val="22"/>
          <w:szCs w:val="22"/>
          <w:lang w:val="en-US"/>
        </w:rPr>
        <w:t>a</w:t>
      </w:r>
      <w:proofErr w:type="spellEnd"/>
      <w:r w:rsidR="005F2143" w:rsidRPr="005E7AA7">
        <w:rPr>
          <w:rFonts w:ascii="Garamond" w:hAnsi="Garamond"/>
          <w:sz w:val="22"/>
          <w:szCs w:val="22"/>
          <w:lang w:val="en-US"/>
        </w:rPr>
        <w:t xml:space="preserve"> Teresa Castillo</w:t>
      </w:r>
      <w:r w:rsidR="00105AB8" w:rsidRPr="005E7AA7">
        <w:rPr>
          <w:rFonts w:ascii="Garamond" w:hAnsi="Garamond"/>
          <w:sz w:val="22"/>
          <w:szCs w:val="22"/>
          <w:lang w:val="en-US"/>
        </w:rPr>
        <w:t xml:space="preserve"> </w:t>
      </w:r>
      <w:proofErr w:type="spellStart"/>
      <w:r w:rsidR="00105AB8" w:rsidRPr="005E7AA7">
        <w:rPr>
          <w:rFonts w:ascii="Garamond" w:hAnsi="Garamond"/>
          <w:sz w:val="22"/>
          <w:szCs w:val="22"/>
          <w:lang w:val="en-US"/>
        </w:rPr>
        <w:t>Burguete</w:t>
      </w:r>
      <w:proofErr w:type="spellEnd"/>
      <w:r w:rsidRPr="005E7AA7">
        <w:rPr>
          <w:rFonts w:ascii="Garamond" w:hAnsi="Garamond"/>
          <w:sz w:val="22"/>
          <w:szCs w:val="22"/>
          <w:lang w:val="en-US"/>
        </w:rPr>
        <w:t xml:space="preserve"> and Dr</w:t>
      </w:r>
      <w:r w:rsidR="00FF46D8" w:rsidRPr="005E7AA7">
        <w:rPr>
          <w:rFonts w:ascii="Garamond" w:hAnsi="Garamond"/>
          <w:sz w:val="22"/>
          <w:szCs w:val="22"/>
          <w:lang w:val="en-US"/>
        </w:rPr>
        <w:t xml:space="preserve"> </w:t>
      </w:r>
      <w:r w:rsidR="00E37457" w:rsidRPr="005E7AA7">
        <w:rPr>
          <w:rFonts w:ascii="Garamond" w:hAnsi="Garamond"/>
          <w:sz w:val="22"/>
          <w:szCs w:val="22"/>
          <w:lang w:val="en-US"/>
        </w:rPr>
        <w:t>Federico Dickinson</w:t>
      </w:r>
    </w:p>
    <w:p w:rsidR="00E37457" w:rsidRPr="005E7AA7" w:rsidRDefault="00E37457" w:rsidP="00E37457">
      <w:pPr>
        <w:rPr>
          <w:rFonts w:ascii="Garamond" w:hAnsi="Garamond"/>
          <w:sz w:val="22"/>
          <w:szCs w:val="22"/>
          <w:lang w:val="en-US"/>
        </w:rPr>
      </w:pPr>
      <w:r w:rsidRPr="005E7AA7">
        <w:rPr>
          <w:rFonts w:ascii="Garamond" w:hAnsi="Garamond"/>
          <w:sz w:val="22"/>
          <w:szCs w:val="22"/>
          <w:lang w:val="en-US"/>
        </w:rPr>
        <w:t xml:space="preserve">Correspondence to: </w:t>
      </w:r>
      <w:hyperlink r:id="rId10" w:history="1">
        <w:r w:rsidRPr="005E7AA7">
          <w:rPr>
            <w:rStyle w:val="Hyperlink"/>
            <w:rFonts w:ascii="Garamond" w:hAnsi="Garamond"/>
            <w:sz w:val="22"/>
            <w:szCs w:val="22"/>
            <w:lang w:val="en-US"/>
          </w:rPr>
          <w:t>b.a.bogin@lboro.ac.uk</w:t>
        </w:r>
      </w:hyperlink>
      <w:r w:rsidRPr="005E7AA7">
        <w:rPr>
          <w:rFonts w:ascii="Garamond" w:hAnsi="Garamond"/>
          <w:sz w:val="22"/>
          <w:szCs w:val="22"/>
          <w:lang w:val="en-US"/>
        </w:rPr>
        <w:t xml:space="preserve"> </w:t>
      </w:r>
    </w:p>
    <w:p w:rsidR="007A38DD" w:rsidRPr="005E7AA7" w:rsidRDefault="007A38DD" w:rsidP="007646E3">
      <w:pPr>
        <w:rPr>
          <w:rFonts w:ascii="Garamond" w:hAnsi="Garamond"/>
          <w:sz w:val="22"/>
          <w:szCs w:val="22"/>
          <w:lang w:val="en-US"/>
        </w:rPr>
      </w:pPr>
    </w:p>
    <w:p w:rsidR="0042039C" w:rsidRPr="005E7AA7" w:rsidRDefault="00791C0E" w:rsidP="007646E3">
      <w:pPr>
        <w:rPr>
          <w:rFonts w:ascii="Garamond" w:hAnsi="Garamond"/>
          <w:sz w:val="22"/>
          <w:szCs w:val="22"/>
          <w:lang w:val="en-US"/>
        </w:rPr>
      </w:pPr>
      <w:r w:rsidRPr="005E7AA7">
        <w:rPr>
          <w:rFonts w:ascii="Garamond" w:hAnsi="Garamond"/>
          <w:sz w:val="22"/>
          <w:szCs w:val="22"/>
          <w:lang w:val="en-US"/>
        </w:rPr>
        <w:t xml:space="preserve">Globalization has many definitions </w:t>
      </w:r>
      <w:r w:rsidRPr="005E7AA7">
        <w:rPr>
          <w:rFonts w:ascii="Garamond" w:hAnsi="Garamond"/>
          <w:sz w:val="22"/>
          <w:szCs w:val="22"/>
          <w:lang w:val="en-US"/>
        </w:rPr>
        <w:fldChar w:fldCharType="begin" w:fldLock="1"/>
      </w:r>
      <w:r w:rsidR="00033477" w:rsidRPr="005E7AA7">
        <w:rPr>
          <w:rFonts w:ascii="Garamond" w:hAnsi="Garamond"/>
          <w:sz w:val="22"/>
          <w:szCs w:val="22"/>
          <w:lang w:val="en-US"/>
        </w:rPr>
        <w:instrText>ADDIN CSL_CITATION { "citationItems" : [ { "id" : "ITEM-1", "itemData" : { "abstract" : "Many authors have attempted, with relative success, to define globalization in a variety of ways. Some claim that it cannot be done, others claim that it would constrain the meaning to do so, and still others have defied these two beliefs and have constructed a working definition. Despite differing opinions about developing a definition, all authors agree on one thing: that defining this term is anything but easy. This paper will attempt to provide a comprehensive overview of the existing definitions of globalization and introduce our proposed definition: \u201cGlobalization is a process that encompasses the causes, course, and consequences of transnational and transcultural integration of human and non-human activities.\u201d", "author" : [ { "dropping-particle" : "", "family" : "Al-Rodhan", "given" : "Nayef R F", "non-dropping-particle" : "", "parse-names" : false, "suffix" : "" } ], "id" : "ITEM-1", "issued" : { "date-parts" : [ [ "2006" ] ] }, "page" : "1-21", "publisher-place" : "Geneva", "title" : "Definitions of Globalization : A Comprehensive Overview and a Proposed Definition", "type" : "report" }, "uris" : [ "http://www.mendeley.com/documents/?uuid=4e68c74c-f544-41c4-a084-79fa4a44d3d4" ] } ], "mendeley" : { "previouslyFormattedCitation" : "(Al-Rodhan, 2006)" }, "properties" : { "noteIndex" : 0 }, "schema" : "https://github.com/citation-style-language/schema/raw/master/csl-citation.json" }</w:instrText>
      </w:r>
      <w:r w:rsidRPr="005E7AA7">
        <w:rPr>
          <w:rFonts w:ascii="Garamond" w:hAnsi="Garamond"/>
          <w:sz w:val="22"/>
          <w:szCs w:val="22"/>
          <w:lang w:val="en-US"/>
        </w:rPr>
        <w:fldChar w:fldCharType="separate"/>
      </w:r>
      <w:r w:rsidR="003C103F" w:rsidRPr="005E7AA7">
        <w:rPr>
          <w:rFonts w:ascii="Garamond" w:hAnsi="Garamond"/>
          <w:noProof/>
          <w:sz w:val="22"/>
          <w:szCs w:val="22"/>
          <w:lang w:val="en-US"/>
        </w:rPr>
        <w:t>(Al-Rodhan, 2006)</w:t>
      </w:r>
      <w:r w:rsidRPr="005E7AA7">
        <w:rPr>
          <w:rFonts w:ascii="Garamond" w:hAnsi="Garamond"/>
          <w:sz w:val="22"/>
          <w:szCs w:val="22"/>
          <w:lang w:val="en-US"/>
        </w:rPr>
        <w:fldChar w:fldCharType="end"/>
      </w:r>
      <w:r w:rsidRPr="005E7AA7">
        <w:rPr>
          <w:rFonts w:ascii="Garamond" w:hAnsi="Garamond"/>
          <w:sz w:val="22"/>
          <w:szCs w:val="22"/>
          <w:lang w:val="en-US"/>
        </w:rPr>
        <w:t xml:space="preserve">. </w:t>
      </w:r>
      <w:r w:rsidR="0042039C" w:rsidRPr="005E7AA7">
        <w:rPr>
          <w:rFonts w:ascii="Garamond" w:hAnsi="Garamond"/>
          <w:sz w:val="22"/>
          <w:szCs w:val="22"/>
          <w:lang w:val="en-US"/>
        </w:rPr>
        <w:t>An anonymous author of a Wikipedia page writes that, “Globalization is the process of international integration arising from the interchange of world views, products, ideas</w:t>
      </w:r>
      <w:r w:rsidR="00105AB8" w:rsidRPr="005E7AA7">
        <w:rPr>
          <w:rFonts w:ascii="Garamond" w:hAnsi="Garamond"/>
          <w:sz w:val="22"/>
          <w:szCs w:val="22"/>
          <w:lang w:val="en-US"/>
        </w:rPr>
        <w:t>, and other aspects of culture</w:t>
      </w:r>
      <w:r w:rsidR="0042039C" w:rsidRPr="005E7AA7">
        <w:rPr>
          <w:rFonts w:ascii="Garamond" w:hAnsi="Garamond"/>
          <w:sz w:val="22"/>
          <w:szCs w:val="22"/>
          <w:lang w:val="en-US"/>
        </w:rPr>
        <w:t>” (</w:t>
      </w:r>
      <w:hyperlink r:id="rId11" w:anchor="cite_note-Albrow-2" w:history="1">
        <w:r w:rsidR="0042039C" w:rsidRPr="005E7AA7">
          <w:rPr>
            <w:rStyle w:val="Hyperlink"/>
            <w:rFonts w:ascii="Garamond" w:hAnsi="Garamond"/>
            <w:sz w:val="22"/>
            <w:szCs w:val="22"/>
            <w:lang w:val="en-US"/>
          </w:rPr>
          <w:t>http://en.wikipedia.org/wiki/Globalization</w:t>
        </w:r>
      </w:hyperlink>
      <w:r w:rsidR="0042039C" w:rsidRPr="005E7AA7">
        <w:rPr>
          <w:rFonts w:ascii="Garamond" w:hAnsi="Garamond"/>
          <w:sz w:val="22"/>
          <w:szCs w:val="22"/>
          <w:lang w:val="en-US"/>
        </w:rPr>
        <w:t>). This international integration is the total of</w:t>
      </w:r>
      <w:r w:rsidR="000166A1" w:rsidRPr="005E7AA7">
        <w:rPr>
          <w:rFonts w:ascii="Garamond" w:hAnsi="Garamond"/>
          <w:sz w:val="22"/>
          <w:szCs w:val="22"/>
          <w:lang w:val="en-US"/>
        </w:rPr>
        <w:t xml:space="preserve"> "...all those processes by which the peoples of the world are incorporated into a single world society" </w:t>
      </w:r>
      <w:r w:rsidR="000166A1" w:rsidRPr="005E7AA7">
        <w:rPr>
          <w:rFonts w:ascii="Garamond" w:hAnsi="Garamond"/>
          <w:sz w:val="22"/>
          <w:szCs w:val="22"/>
          <w:lang w:val="en-US"/>
        </w:rPr>
        <w:fldChar w:fldCharType="begin" w:fldLock="1"/>
      </w:r>
      <w:r w:rsidR="00033477" w:rsidRPr="005E7AA7">
        <w:rPr>
          <w:rFonts w:ascii="Garamond" w:hAnsi="Garamond"/>
          <w:sz w:val="22"/>
          <w:szCs w:val="22"/>
          <w:lang w:val="en-US"/>
        </w:rPr>
        <w:instrText>ADDIN CSL_CITATION { "citationItems" : [ { "id" : "ITEM-1", "itemData" : { "abstract" : "Globalization, Knowledge &amp; Society provides a comprehensive examination of the latest issues involved in the development of sociology as a global discipline. The five sections in this volume illustrate different facets of this overall conception. Classic issues of relativism and universalism are raised in a new context and problems of tensions between national sociological traditions and the international discipline are explored. Finally, contributors consider the transnational process of social change and focus on the emergence of global values through the Green and Peace movements of the 1980s. This innovative volume, addresses key questions for all those interested in the nature of contemporary social change and the existing challenge to sociology and other disciplines to keep pace with these changes. Albrow and King have produced an exceptional collection of work by scholars and scientists worldwide and will be essential reading for those interested in sociology, world-systems theory, development studies, urban studies, cross-cultural studies, and anthropology.", "author" : [ { "dropping-particle" : "", "family" : "Albrow", "given" : "Martin", "non-dropping-particle" : "", "parse-names" : false, "suffix" : "" }, { "dropping-particle" : "", "family" : "King", "given" : "Elizabeth", "non-dropping-particle" : "", "parse-names" : false, "suffix" : "" } ], "id" : "ITEM-1", "issued" : { "date-parts" : [ [ "1990" ] ] }, "publisher" : "Sage", "publisher-place" : "London", "title" : "Globalization, Knowledge and Society", "type" : "book" }, "uris" : [ "http://www.mendeley.com/documents/?uuid=c0b9278d-2f34-4bf7-a0fb-27ec0715768a" ] } ], "mendeley" : { "manualFormatting" : "(Albrow &amp; King, 1990, p. 8)", "previouslyFormattedCitation" : "(Albrow and King, 1990)" }, "properties" : { "noteIndex" : 0 }, "schema" : "https://github.com/citation-style-language/schema/raw/master/csl-citation.json" }</w:instrText>
      </w:r>
      <w:r w:rsidR="000166A1" w:rsidRPr="005E7AA7">
        <w:rPr>
          <w:rFonts w:ascii="Garamond" w:hAnsi="Garamond"/>
          <w:sz w:val="22"/>
          <w:szCs w:val="22"/>
          <w:lang w:val="en-US"/>
        </w:rPr>
        <w:fldChar w:fldCharType="separate"/>
      </w:r>
      <w:r w:rsidR="000166A1" w:rsidRPr="005E7AA7">
        <w:rPr>
          <w:rFonts w:ascii="Garamond" w:hAnsi="Garamond"/>
          <w:noProof/>
          <w:sz w:val="22"/>
          <w:szCs w:val="22"/>
          <w:lang w:val="en-US"/>
        </w:rPr>
        <w:t>(Albrow &amp; King, 1990, p. 8)</w:t>
      </w:r>
      <w:r w:rsidR="000166A1" w:rsidRPr="005E7AA7">
        <w:rPr>
          <w:rFonts w:ascii="Garamond" w:hAnsi="Garamond"/>
          <w:sz w:val="22"/>
          <w:szCs w:val="22"/>
          <w:lang w:val="en-US"/>
        </w:rPr>
        <w:fldChar w:fldCharType="end"/>
      </w:r>
      <w:r w:rsidR="000166A1" w:rsidRPr="005E7AA7">
        <w:rPr>
          <w:rFonts w:ascii="Garamond" w:hAnsi="Garamond"/>
          <w:sz w:val="22"/>
          <w:szCs w:val="22"/>
          <w:lang w:val="en-US"/>
        </w:rPr>
        <w:t>.</w:t>
      </w:r>
      <w:r w:rsidR="0042039C" w:rsidRPr="005E7AA7">
        <w:rPr>
          <w:rFonts w:ascii="Garamond" w:hAnsi="Garamond"/>
          <w:sz w:val="22"/>
          <w:szCs w:val="22"/>
          <w:lang w:val="en-US"/>
        </w:rPr>
        <w:t xml:space="preserve"> </w:t>
      </w:r>
      <w:r w:rsidR="009A28A7" w:rsidRPr="005E7AA7">
        <w:rPr>
          <w:rFonts w:ascii="Garamond" w:hAnsi="Garamond"/>
          <w:sz w:val="22"/>
          <w:szCs w:val="22"/>
          <w:lang w:val="en-US"/>
        </w:rPr>
        <w:t>Many anthropologists, including the present authors, doubt that globalization will unify hundreds of cultures and language groups into ‘a single world society.’ More likely, globalization works to unify economic markets via trade, the flow of monetary capital, the movement of human capital via rural-to-urban and international migration, and the targeting of investment toward financial profits. Globalization may or may not result in greater human well-being, health, and happiness</w:t>
      </w:r>
      <w:r w:rsidR="00720372" w:rsidRPr="005E7AA7">
        <w:rPr>
          <w:rFonts w:ascii="Garamond" w:hAnsi="Garamond"/>
          <w:sz w:val="22"/>
          <w:szCs w:val="22"/>
          <w:lang w:val="en-US"/>
        </w:rPr>
        <w:t xml:space="preserve"> </w:t>
      </w:r>
      <w:r w:rsidR="00720372" w:rsidRPr="005E7AA7">
        <w:rPr>
          <w:rFonts w:ascii="Garamond" w:hAnsi="Garamond"/>
          <w:sz w:val="22"/>
          <w:szCs w:val="22"/>
          <w:lang w:val="en-US"/>
        </w:rPr>
        <w:fldChar w:fldCharType="begin" w:fldLock="1"/>
      </w:r>
      <w:r w:rsidR="00033477" w:rsidRPr="005E7AA7">
        <w:rPr>
          <w:rFonts w:ascii="Garamond" w:hAnsi="Garamond"/>
          <w:sz w:val="22"/>
          <w:szCs w:val="22"/>
          <w:lang w:val="en-US"/>
        </w:rPr>
        <w:instrText>ADDIN CSL_CITATION { "citationItems" : [ { "id" : "ITEM-1", "itemData" : { "author" : [ { "dropping-particle" : "", "family" : "Graham", "given" : "Carol", "non-dropping-particle" : "", "parse-names" : false, "suffix" : "" } ], "id" : "ITEM-1", "issued" : { "date-parts" : [ [ "2010" ] ] }, "publisher" : "Oxford University Press", "publisher-place" : "Oxford", "title" : "Happiness around the World: The Paradox of Happy Peasants and Miserable Millionaires", "type" : "book" }, "uris" : [ "http://www.mendeley.com/documents/?uuid=d94ba6b2-2459-4ee9-8286-728c96e13ae7" ] } ], "mendeley" : { "previouslyFormattedCitation" : "(Graham, 2010)" }, "properties" : { "noteIndex" : 0 }, "schema" : "https://github.com/citation-style-language/schema/raw/master/csl-citation.json" }</w:instrText>
      </w:r>
      <w:r w:rsidR="00720372" w:rsidRPr="005E7AA7">
        <w:rPr>
          <w:rFonts w:ascii="Garamond" w:hAnsi="Garamond"/>
          <w:sz w:val="22"/>
          <w:szCs w:val="22"/>
          <w:lang w:val="en-US"/>
        </w:rPr>
        <w:fldChar w:fldCharType="separate"/>
      </w:r>
      <w:r w:rsidR="00720372" w:rsidRPr="005E7AA7">
        <w:rPr>
          <w:rFonts w:ascii="Garamond" w:hAnsi="Garamond"/>
          <w:noProof/>
          <w:sz w:val="22"/>
          <w:szCs w:val="22"/>
          <w:lang w:val="en-US"/>
        </w:rPr>
        <w:t>(Graham, 2010)</w:t>
      </w:r>
      <w:r w:rsidR="00720372" w:rsidRPr="005E7AA7">
        <w:rPr>
          <w:rFonts w:ascii="Garamond" w:hAnsi="Garamond"/>
          <w:sz w:val="22"/>
          <w:szCs w:val="22"/>
          <w:lang w:val="en-US"/>
        </w:rPr>
        <w:fldChar w:fldCharType="end"/>
      </w:r>
      <w:r w:rsidR="009A28A7" w:rsidRPr="005E7AA7">
        <w:rPr>
          <w:rFonts w:ascii="Garamond" w:hAnsi="Garamond"/>
          <w:sz w:val="22"/>
          <w:szCs w:val="22"/>
          <w:lang w:val="en-US"/>
        </w:rPr>
        <w:t xml:space="preserve">. </w:t>
      </w:r>
    </w:p>
    <w:p w:rsidR="00EF1A96" w:rsidRPr="005E7AA7" w:rsidRDefault="0042039C" w:rsidP="007646E3">
      <w:pPr>
        <w:rPr>
          <w:rFonts w:ascii="Garamond" w:hAnsi="Garamond"/>
          <w:bCs/>
          <w:sz w:val="22"/>
          <w:szCs w:val="22"/>
          <w:lang w:val="en-US"/>
        </w:rPr>
      </w:pPr>
      <w:r w:rsidRPr="005E7AA7">
        <w:rPr>
          <w:rFonts w:ascii="Garamond" w:hAnsi="Garamond"/>
          <w:sz w:val="22"/>
          <w:szCs w:val="22"/>
          <w:lang w:val="en-US"/>
        </w:rPr>
        <w:lastRenderedPageBreak/>
        <w:t xml:space="preserve">Food globalization integrates the products of multinational corporations with </w:t>
      </w:r>
      <w:r w:rsidR="00F32644" w:rsidRPr="005E7AA7">
        <w:rPr>
          <w:rFonts w:ascii="Garamond" w:hAnsi="Garamond"/>
          <w:sz w:val="22"/>
          <w:szCs w:val="22"/>
          <w:lang w:val="en-US"/>
        </w:rPr>
        <w:t>processes of</w:t>
      </w:r>
      <w:r w:rsidR="007646E3" w:rsidRPr="005E7AA7">
        <w:rPr>
          <w:rFonts w:ascii="Garamond" w:hAnsi="Garamond"/>
          <w:sz w:val="22"/>
          <w:szCs w:val="22"/>
          <w:lang w:val="en-US"/>
        </w:rPr>
        <w:t xml:space="preserve"> </w:t>
      </w:r>
      <w:r w:rsidR="00F32644" w:rsidRPr="005E7AA7">
        <w:rPr>
          <w:rFonts w:ascii="Garamond" w:hAnsi="Garamond"/>
          <w:bCs/>
          <w:sz w:val="22"/>
          <w:szCs w:val="22"/>
          <w:lang w:val="en-US"/>
        </w:rPr>
        <w:t>dietary change. This integration influences the</w:t>
      </w:r>
      <w:r w:rsidR="00F32644" w:rsidRPr="005E7AA7">
        <w:rPr>
          <w:rFonts w:ascii="Garamond" w:hAnsi="Garamond"/>
          <w:sz w:val="22"/>
          <w:szCs w:val="22"/>
          <w:lang w:val="en-US"/>
        </w:rPr>
        <w:t xml:space="preserve"> </w:t>
      </w:r>
      <w:r w:rsidRPr="005E7AA7">
        <w:rPr>
          <w:rFonts w:ascii="Garamond" w:hAnsi="Garamond"/>
          <w:sz w:val="22"/>
          <w:szCs w:val="22"/>
          <w:lang w:val="en-US"/>
        </w:rPr>
        <w:t>b</w:t>
      </w:r>
      <w:r w:rsidRPr="005E7AA7">
        <w:rPr>
          <w:rFonts w:ascii="Garamond" w:hAnsi="Garamond"/>
          <w:bCs/>
          <w:sz w:val="22"/>
          <w:szCs w:val="22"/>
          <w:lang w:val="en-US"/>
        </w:rPr>
        <w:t>iolog</w:t>
      </w:r>
      <w:r w:rsidR="00F32644" w:rsidRPr="005E7AA7">
        <w:rPr>
          <w:rFonts w:ascii="Garamond" w:hAnsi="Garamond"/>
          <w:bCs/>
          <w:sz w:val="22"/>
          <w:szCs w:val="22"/>
          <w:lang w:val="en-US"/>
        </w:rPr>
        <w:t>y</w:t>
      </w:r>
      <w:r w:rsidRPr="005E7AA7">
        <w:rPr>
          <w:rFonts w:ascii="Garamond" w:hAnsi="Garamond"/>
          <w:bCs/>
          <w:sz w:val="22"/>
          <w:szCs w:val="22"/>
          <w:lang w:val="en-US"/>
        </w:rPr>
        <w:t>, social</w:t>
      </w:r>
      <w:r w:rsidR="00F32644" w:rsidRPr="005E7AA7">
        <w:rPr>
          <w:rFonts w:ascii="Garamond" w:hAnsi="Garamond"/>
          <w:bCs/>
          <w:sz w:val="22"/>
          <w:szCs w:val="22"/>
          <w:lang w:val="en-US"/>
        </w:rPr>
        <w:t xml:space="preserve"> organization</w:t>
      </w:r>
      <w:r w:rsidRPr="005E7AA7">
        <w:rPr>
          <w:rFonts w:ascii="Garamond" w:hAnsi="Garamond"/>
          <w:bCs/>
          <w:sz w:val="22"/>
          <w:szCs w:val="22"/>
          <w:lang w:val="en-US"/>
        </w:rPr>
        <w:t>, and ideolog</w:t>
      </w:r>
      <w:r w:rsidR="00F32644" w:rsidRPr="005E7AA7">
        <w:rPr>
          <w:rFonts w:ascii="Garamond" w:hAnsi="Garamond"/>
          <w:bCs/>
          <w:sz w:val="22"/>
          <w:szCs w:val="22"/>
          <w:lang w:val="en-US"/>
        </w:rPr>
        <w:t>y of people.</w:t>
      </w:r>
      <w:r w:rsidRPr="005E7AA7">
        <w:rPr>
          <w:rFonts w:ascii="Garamond" w:hAnsi="Garamond"/>
          <w:bCs/>
          <w:sz w:val="22"/>
          <w:szCs w:val="22"/>
          <w:lang w:val="en-US"/>
        </w:rPr>
        <w:t xml:space="preserve"> </w:t>
      </w:r>
      <w:r w:rsidR="00EC474A" w:rsidRPr="005E7AA7">
        <w:rPr>
          <w:rFonts w:ascii="Garamond" w:hAnsi="Garamond"/>
          <w:bCs/>
          <w:sz w:val="22"/>
          <w:szCs w:val="22"/>
          <w:lang w:val="en-US"/>
        </w:rPr>
        <w:t>Globalization is also unlikely to produce</w:t>
      </w:r>
      <w:r w:rsidR="007646E3" w:rsidRPr="005E7AA7">
        <w:rPr>
          <w:rFonts w:ascii="Garamond" w:hAnsi="Garamond"/>
          <w:bCs/>
          <w:sz w:val="22"/>
          <w:szCs w:val="22"/>
          <w:lang w:val="en-US"/>
        </w:rPr>
        <w:t xml:space="preserve"> a ‘single world society’ of food. The hundreds of human cultures, with their multiplicity of religions, social classes, and ethnicities, </w:t>
      </w:r>
      <w:r w:rsidR="00EC474A" w:rsidRPr="005E7AA7">
        <w:rPr>
          <w:rFonts w:ascii="Garamond" w:hAnsi="Garamond"/>
          <w:bCs/>
          <w:sz w:val="22"/>
          <w:szCs w:val="22"/>
          <w:lang w:val="en-US"/>
        </w:rPr>
        <w:t>often demand that people eat culturally-specific foods. The</w:t>
      </w:r>
      <w:r w:rsidR="007646E3" w:rsidRPr="005E7AA7">
        <w:rPr>
          <w:rFonts w:ascii="Garamond" w:hAnsi="Garamond"/>
          <w:bCs/>
          <w:sz w:val="22"/>
          <w:szCs w:val="22"/>
          <w:lang w:val="en-US"/>
        </w:rPr>
        <w:t xml:space="preserve"> diversity of physical environments for food production</w:t>
      </w:r>
      <w:r w:rsidR="00EC474A" w:rsidRPr="005E7AA7">
        <w:rPr>
          <w:rFonts w:ascii="Garamond" w:hAnsi="Garamond"/>
          <w:bCs/>
          <w:sz w:val="22"/>
          <w:szCs w:val="22"/>
          <w:lang w:val="en-US"/>
        </w:rPr>
        <w:t xml:space="preserve"> will likely</w:t>
      </w:r>
      <w:r w:rsidR="007646E3" w:rsidRPr="005E7AA7">
        <w:rPr>
          <w:rFonts w:ascii="Garamond" w:hAnsi="Garamond"/>
          <w:bCs/>
          <w:sz w:val="22"/>
          <w:szCs w:val="22"/>
          <w:lang w:val="en-US"/>
        </w:rPr>
        <w:t xml:space="preserve"> mean that biological species available to eat and the final choices of edible items will reflect local bio-social ecologies.</w:t>
      </w:r>
      <w:r w:rsidR="00EC474A" w:rsidRPr="005E7AA7">
        <w:rPr>
          <w:rFonts w:ascii="Garamond" w:hAnsi="Garamond"/>
          <w:bCs/>
          <w:sz w:val="22"/>
          <w:szCs w:val="22"/>
          <w:lang w:val="en-US"/>
        </w:rPr>
        <w:t xml:space="preserve"> In addition, transport costs may make the price of imported foods beyond the means of the majority of the world’s people, who</w:t>
      </w:r>
      <w:r w:rsidR="00632D21" w:rsidRPr="005E7AA7">
        <w:rPr>
          <w:rFonts w:ascii="Garamond" w:hAnsi="Garamond"/>
          <w:bCs/>
          <w:sz w:val="22"/>
          <w:szCs w:val="22"/>
          <w:lang w:val="en-US"/>
        </w:rPr>
        <w:t xml:space="preserve"> are of low income.</w:t>
      </w:r>
    </w:p>
    <w:p w:rsidR="006B3943" w:rsidRPr="005E7AA7" w:rsidRDefault="007646E3" w:rsidP="006B3943">
      <w:pPr>
        <w:rPr>
          <w:rFonts w:ascii="Garamond" w:hAnsi="Garamond"/>
          <w:bCs/>
          <w:sz w:val="22"/>
          <w:szCs w:val="22"/>
          <w:lang w:val="en-US"/>
        </w:rPr>
      </w:pPr>
      <w:r w:rsidRPr="005E7AA7">
        <w:rPr>
          <w:rFonts w:ascii="Garamond" w:hAnsi="Garamond"/>
          <w:bCs/>
          <w:sz w:val="22"/>
          <w:szCs w:val="22"/>
          <w:lang w:val="en-US"/>
        </w:rPr>
        <w:t xml:space="preserve">Archaeological and historical sources do, in fact, support the </w:t>
      </w:r>
      <w:r w:rsidR="00BC5D80" w:rsidRPr="005E7AA7">
        <w:rPr>
          <w:rFonts w:ascii="Garamond" w:hAnsi="Garamond"/>
          <w:bCs/>
          <w:sz w:val="22"/>
          <w:szCs w:val="22"/>
          <w:lang w:val="en-US"/>
        </w:rPr>
        <w:t>local nature of food availability, food production methods, and consumption choice</w:t>
      </w:r>
      <w:r w:rsidR="007C094F" w:rsidRPr="005E7AA7">
        <w:rPr>
          <w:rFonts w:ascii="Garamond" w:hAnsi="Garamond"/>
          <w:bCs/>
          <w:sz w:val="22"/>
          <w:szCs w:val="22"/>
          <w:lang w:val="en-US"/>
        </w:rPr>
        <w:t xml:space="preserve">s </w:t>
      </w:r>
      <w:r w:rsidR="007C094F"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"PMID" : "10990138", "author" : [ { "dropping-particle" : "", "family" : "Bogin", "given" : "B", "non-dropping-particle" : "", "parse-names" : false, "suffix" : "" } ], "container-title" : "Growth Hormone IGF Research", "id" : "ITEM-1", "issue" : "Supplement 2", "issued" : { "date-parts" : [ [ "1998" ] ] }, "page" : "79-86", "title" : "From caveman cuisine to fast food: the evolution of human nutrition.", "type" : "article-journal", "volume" : "8 Suppl B" }, "uris" : [ "http://www.mendeley.com/documents/?uuid=e362aa7b-8f01-469f-8382-4f2910ff0626" ] }, { "id" : "ITEM-2", "itemData" : { "ISBN" : "9870199738144", "author" : [ { "dropping-particle" : "", "family" : "Dufour", "given" : "Darna L", "non-dropping-particle" : "", "parse-names" : false, "suffix" : "" }, { "dropping-particle" : "", "family" : "Goodman", "given" : "Alan H", "non-dropping-particle" : "", "parse-names" : false, "suffix" : "" }, { "dropping-particle" : "", "family" : "Pelto", "given" : "Gretel H", "non-dropping-particle" : "", "parse-names" : false, "suffix" : "" } ], "edition" : "Second", "id" : "ITEM-2", "issued" : { "date-parts" : [ [ "2013" ] ] }, "publisher" : "Oxford University Press", "publisher-place" : "Oxford.", "title" : "Nutritional Anthropology,", "type" : "book" }, "uris" : [ "http://www.mendeley.com/documents/?uuid=e85ac7a0-5599-447a-9e9a-c60271ef82e4" ] } ], "mendeley" : { "previouslyFormattedCitation" : "(Bogin, 1998; Dufour et al., 2013)" }, "properties" : { "noteIndex" : 0 }, "schema" : "https://github.com/citation-style-language/schema/raw/master/csl-citation.json" }</w:instrText>
      </w:r>
      <w:r w:rsidR="007C094F" w:rsidRPr="005E7AA7">
        <w:rPr>
          <w:rFonts w:ascii="Garamond" w:hAnsi="Garamond"/>
          <w:bCs/>
          <w:sz w:val="22"/>
          <w:szCs w:val="22"/>
          <w:lang w:val="en-US"/>
        </w:rPr>
        <w:fldChar w:fldCharType="separate"/>
      </w:r>
      <w:r w:rsidR="00834114" w:rsidRPr="005E7AA7">
        <w:rPr>
          <w:rFonts w:ascii="Garamond" w:hAnsi="Garamond"/>
          <w:bCs/>
          <w:noProof/>
          <w:sz w:val="22"/>
          <w:szCs w:val="22"/>
          <w:lang w:val="en-US"/>
        </w:rPr>
        <w:t>(Bogin, 1998; Dufour et al., 2013)</w:t>
      </w:r>
      <w:r w:rsidR="007C094F" w:rsidRPr="005E7AA7">
        <w:rPr>
          <w:rFonts w:ascii="Garamond" w:hAnsi="Garamond"/>
          <w:bCs/>
          <w:sz w:val="22"/>
          <w:szCs w:val="22"/>
          <w:lang w:val="en-US"/>
        </w:rPr>
        <w:fldChar w:fldCharType="end"/>
      </w:r>
      <w:r w:rsidR="002A6384" w:rsidRPr="005E7AA7">
        <w:rPr>
          <w:rFonts w:ascii="Garamond" w:hAnsi="Garamond"/>
          <w:bCs/>
          <w:sz w:val="22"/>
          <w:szCs w:val="22"/>
          <w:lang w:val="en-US"/>
        </w:rPr>
        <w:t xml:space="preserve">. </w:t>
      </w:r>
      <w:r w:rsidR="00632D21" w:rsidRPr="005E7AA7">
        <w:rPr>
          <w:rFonts w:ascii="Garamond" w:hAnsi="Garamond"/>
          <w:bCs/>
          <w:sz w:val="22"/>
          <w:szCs w:val="22"/>
          <w:lang w:val="en-US"/>
        </w:rPr>
        <w:t>Despite this long history, a</w:t>
      </w:r>
      <w:r w:rsidR="00F32644" w:rsidRPr="005E7AA7">
        <w:rPr>
          <w:rFonts w:ascii="Garamond" w:hAnsi="Garamond"/>
          <w:bCs/>
          <w:sz w:val="22"/>
          <w:szCs w:val="22"/>
          <w:lang w:val="en-US"/>
        </w:rPr>
        <w:t xml:space="preserve"> shift toward global foods may </w:t>
      </w:r>
      <w:r w:rsidR="00632D21" w:rsidRPr="005E7AA7">
        <w:rPr>
          <w:rFonts w:ascii="Garamond" w:hAnsi="Garamond"/>
          <w:bCs/>
          <w:sz w:val="22"/>
          <w:szCs w:val="22"/>
          <w:lang w:val="en-US"/>
        </w:rPr>
        <w:t xml:space="preserve">have begun about </w:t>
      </w:r>
      <w:r w:rsidR="00F32644" w:rsidRPr="005E7AA7">
        <w:rPr>
          <w:rFonts w:ascii="Garamond" w:hAnsi="Garamond"/>
          <w:bCs/>
          <w:sz w:val="22"/>
          <w:szCs w:val="22"/>
          <w:lang w:val="en-US"/>
        </w:rPr>
        <w:t xml:space="preserve">300 </w:t>
      </w:r>
      <w:r w:rsidR="00632D21" w:rsidRPr="005E7AA7">
        <w:rPr>
          <w:rFonts w:ascii="Garamond" w:hAnsi="Garamond"/>
          <w:bCs/>
          <w:sz w:val="22"/>
          <w:szCs w:val="22"/>
          <w:lang w:val="en-US"/>
        </w:rPr>
        <w:t>ago</w:t>
      </w:r>
      <w:r w:rsidR="00F32644" w:rsidRPr="005E7AA7">
        <w:rPr>
          <w:rFonts w:ascii="Garamond" w:hAnsi="Garamond"/>
          <w:bCs/>
          <w:sz w:val="22"/>
          <w:szCs w:val="22"/>
          <w:lang w:val="en-US"/>
        </w:rPr>
        <w:t xml:space="preserve">. </w:t>
      </w:r>
      <w:r w:rsidR="002A6384" w:rsidRPr="005E7AA7">
        <w:rPr>
          <w:rFonts w:ascii="Garamond" w:hAnsi="Garamond"/>
          <w:bCs/>
          <w:sz w:val="22"/>
          <w:szCs w:val="22"/>
          <w:lang w:val="en-US"/>
        </w:rPr>
        <w:t xml:space="preserve">In his book </w:t>
      </w:r>
      <w:r w:rsidR="002A6384" w:rsidRPr="005E7AA7">
        <w:rPr>
          <w:rFonts w:ascii="Garamond" w:hAnsi="Garamond"/>
          <w:bCs/>
          <w:i/>
          <w:iCs/>
          <w:sz w:val="22"/>
          <w:szCs w:val="22"/>
          <w:lang w:val="en-US"/>
        </w:rPr>
        <w:t>Sweetness and Power</w:t>
      </w:r>
      <w:r w:rsidR="00F32644" w:rsidRPr="005E7AA7">
        <w:rPr>
          <w:rFonts w:ascii="Garamond" w:hAnsi="Garamond"/>
          <w:bCs/>
          <w:iCs/>
          <w:sz w:val="22"/>
          <w:szCs w:val="22"/>
          <w:lang w:val="en-US"/>
        </w:rPr>
        <w:t>,</w:t>
      </w:r>
      <w:r w:rsidR="002A6384" w:rsidRPr="005E7AA7">
        <w:rPr>
          <w:rFonts w:ascii="Garamond" w:hAnsi="Garamond"/>
          <w:bCs/>
          <w:sz w:val="22"/>
          <w:szCs w:val="22"/>
          <w:lang w:val="en-US"/>
        </w:rPr>
        <w:t xml:space="preserve"> Sidney </w:t>
      </w:r>
      <w:proofErr w:type="spellStart"/>
      <w:r w:rsidR="002A6384" w:rsidRPr="005E7AA7">
        <w:rPr>
          <w:rFonts w:ascii="Garamond" w:hAnsi="Garamond"/>
          <w:bCs/>
          <w:sz w:val="22"/>
          <w:szCs w:val="22"/>
          <w:lang w:val="en-US"/>
        </w:rPr>
        <w:t>Mintz</w:t>
      </w:r>
      <w:proofErr w:type="spellEnd"/>
      <w:r w:rsidR="002A6384" w:rsidRPr="005E7AA7">
        <w:rPr>
          <w:rFonts w:ascii="Garamond" w:hAnsi="Garamond"/>
          <w:bCs/>
          <w:sz w:val="22"/>
          <w:szCs w:val="22"/>
          <w:lang w:val="en-US"/>
        </w:rPr>
        <w:t xml:space="preserve"> </w:t>
      </w:r>
      <w:r w:rsidR="002A6384"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"ISBN" : "0140092331", "author" : [ { "dropping-particle" : "", "family" : "Mintz", "given" : "Sidney W", "non-dropping-particle" : "", "parse-names" : false, "suffix" : "" } ], "id" : "ITEM-1", "issued" : { "date-parts" : [ [ "1985" ] ] }, "publisher" : "Penguin Books", "publisher-place" : "New York", "title" : "Sweetness and Power", "type" : "book" }, "uris" : [ "http://www.mendeley.com/documents/?uuid=fea3372d-d96f-4d29-8a2c-61d6216db7a1" ] } ], "mendeley" : { "manualFormatting" : "(1985)", "previouslyFormattedCitation" : "(Mintz, 1985)" }, "properties" : { "noteIndex" : 0 }, "schema" : "https://github.com/citation-style-language/schema/raw/master/csl-citation.json" }</w:instrText>
      </w:r>
      <w:r w:rsidR="002A6384" w:rsidRPr="005E7AA7">
        <w:rPr>
          <w:rFonts w:ascii="Garamond" w:hAnsi="Garamond"/>
          <w:bCs/>
          <w:sz w:val="22"/>
          <w:szCs w:val="22"/>
          <w:lang w:val="en-US"/>
        </w:rPr>
        <w:fldChar w:fldCharType="separate"/>
      </w:r>
      <w:r w:rsidR="002A6384" w:rsidRPr="005E7AA7">
        <w:rPr>
          <w:rFonts w:ascii="Garamond" w:hAnsi="Garamond"/>
          <w:bCs/>
          <w:noProof/>
          <w:sz w:val="22"/>
          <w:szCs w:val="22"/>
          <w:lang w:val="en-US"/>
        </w:rPr>
        <w:t>(1985)</w:t>
      </w:r>
      <w:r w:rsidR="002A6384" w:rsidRPr="005E7AA7">
        <w:rPr>
          <w:rFonts w:ascii="Garamond" w:hAnsi="Garamond"/>
          <w:bCs/>
          <w:sz w:val="22"/>
          <w:szCs w:val="22"/>
          <w:lang w:val="en-US"/>
        </w:rPr>
        <w:fldChar w:fldCharType="end"/>
      </w:r>
      <w:r w:rsidR="002A6384" w:rsidRPr="005E7AA7">
        <w:rPr>
          <w:rFonts w:ascii="Garamond" w:hAnsi="Garamond"/>
          <w:bCs/>
          <w:sz w:val="22"/>
          <w:szCs w:val="22"/>
          <w:lang w:val="en-US"/>
        </w:rPr>
        <w:t xml:space="preserve"> </w:t>
      </w:r>
      <w:r w:rsidR="006B3943" w:rsidRPr="005E7AA7">
        <w:rPr>
          <w:rFonts w:ascii="Garamond" w:hAnsi="Garamond"/>
          <w:bCs/>
          <w:sz w:val="22"/>
          <w:szCs w:val="22"/>
          <w:lang w:val="en-US"/>
        </w:rPr>
        <w:t xml:space="preserve">contends </w:t>
      </w:r>
      <w:r w:rsidR="002A6384" w:rsidRPr="005E7AA7">
        <w:rPr>
          <w:rFonts w:ascii="Garamond" w:hAnsi="Garamond"/>
          <w:bCs/>
          <w:sz w:val="22"/>
          <w:szCs w:val="22"/>
          <w:lang w:val="en-US"/>
        </w:rPr>
        <w:t>that in the 18</w:t>
      </w:r>
      <w:r w:rsidR="002A6384" w:rsidRPr="005E7AA7">
        <w:rPr>
          <w:rFonts w:ascii="Garamond" w:hAnsi="Garamond"/>
          <w:bCs/>
          <w:sz w:val="22"/>
          <w:szCs w:val="22"/>
          <w:vertAlign w:val="superscript"/>
          <w:lang w:val="en-US"/>
        </w:rPr>
        <w:t>th</w:t>
      </w:r>
      <w:r w:rsidR="002A6384" w:rsidRPr="005E7AA7">
        <w:rPr>
          <w:rFonts w:ascii="Garamond" w:hAnsi="Garamond"/>
          <w:bCs/>
          <w:sz w:val="22"/>
          <w:szCs w:val="22"/>
          <w:lang w:val="en-US"/>
        </w:rPr>
        <w:t xml:space="preserve"> Century</w:t>
      </w:r>
      <w:r w:rsidR="00FD02B2" w:rsidRPr="005E7AA7">
        <w:rPr>
          <w:rFonts w:ascii="Garamond" w:hAnsi="Garamond"/>
          <w:bCs/>
          <w:sz w:val="22"/>
          <w:szCs w:val="22"/>
          <w:lang w:val="en-US"/>
        </w:rPr>
        <w:t xml:space="preserve"> European Colonial powers practiced a trade of goods and slaves which marked the beginning of food globalization. The mass transport of t</w:t>
      </w:r>
      <w:r w:rsidR="002A6384" w:rsidRPr="005E7AA7">
        <w:rPr>
          <w:rFonts w:ascii="Garamond" w:hAnsi="Garamond"/>
          <w:bCs/>
          <w:sz w:val="22"/>
          <w:szCs w:val="22"/>
          <w:lang w:val="en-US"/>
        </w:rPr>
        <w:t>he food crops of tea, sugar, tobacco and, to a lesser extent, chocolate and coffee</w:t>
      </w:r>
      <w:r w:rsidR="00D55B9D" w:rsidRPr="005E7AA7">
        <w:rPr>
          <w:rFonts w:ascii="Garamond" w:hAnsi="Garamond"/>
          <w:bCs/>
          <w:sz w:val="22"/>
          <w:szCs w:val="22"/>
          <w:lang w:val="en-US"/>
        </w:rPr>
        <w:t xml:space="preserve">, </w:t>
      </w:r>
      <w:r w:rsidR="00FD02B2" w:rsidRPr="005E7AA7">
        <w:rPr>
          <w:rFonts w:ascii="Garamond" w:hAnsi="Garamond"/>
          <w:bCs/>
          <w:sz w:val="22"/>
          <w:szCs w:val="22"/>
          <w:lang w:val="en-US"/>
        </w:rPr>
        <w:t xml:space="preserve">made these </w:t>
      </w:r>
      <w:r w:rsidR="005E50AB" w:rsidRPr="005E7AA7">
        <w:rPr>
          <w:rFonts w:ascii="Garamond" w:hAnsi="Garamond"/>
          <w:bCs/>
          <w:sz w:val="22"/>
          <w:szCs w:val="22"/>
          <w:lang w:val="en-US"/>
        </w:rPr>
        <w:t>commodities</w:t>
      </w:r>
      <w:r w:rsidR="00FD02B2" w:rsidRPr="005E7AA7">
        <w:rPr>
          <w:rFonts w:ascii="Garamond" w:hAnsi="Garamond"/>
          <w:bCs/>
          <w:sz w:val="22"/>
          <w:szCs w:val="22"/>
          <w:lang w:val="en-US"/>
        </w:rPr>
        <w:t xml:space="preserve"> the</w:t>
      </w:r>
      <w:r w:rsidR="002A6384" w:rsidRPr="005E7AA7">
        <w:rPr>
          <w:rFonts w:ascii="Garamond" w:hAnsi="Garamond"/>
          <w:bCs/>
          <w:sz w:val="22"/>
          <w:szCs w:val="22"/>
          <w:lang w:val="en-US"/>
        </w:rPr>
        <w:t xml:space="preserve"> first mass produced, imported food</w:t>
      </w:r>
      <w:r w:rsidR="00D55B9D" w:rsidRPr="005E7AA7">
        <w:rPr>
          <w:rFonts w:ascii="Garamond" w:hAnsi="Garamond"/>
          <w:bCs/>
          <w:sz w:val="22"/>
          <w:szCs w:val="22"/>
          <w:lang w:val="en-US"/>
        </w:rPr>
        <w:t>s,</w:t>
      </w:r>
      <w:r w:rsidR="002A6384" w:rsidRPr="005E7AA7">
        <w:rPr>
          <w:rFonts w:ascii="Garamond" w:hAnsi="Garamond"/>
          <w:bCs/>
          <w:sz w:val="22"/>
          <w:szCs w:val="22"/>
          <w:lang w:val="en-US"/>
        </w:rPr>
        <w:t xml:space="preserve"> of mass </w:t>
      </w:r>
      <w:r w:rsidR="006B3943" w:rsidRPr="005E7AA7">
        <w:rPr>
          <w:rFonts w:ascii="Garamond" w:hAnsi="Garamond"/>
          <w:bCs/>
          <w:sz w:val="22"/>
          <w:szCs w:val="22"/>
          <w:lang w:val="en-US"/>
        </w:rPr>
        <w:t>consump</w:t>
      </w:r>
      <w:r w:rsidR="002A6384" w:rsidRPr="005E7AA7">
        <w:rPr>
          <w:rFonts w:ascii="Garamond" w:hAnsi="Garamond"/>
          <w:bCs/>
          <w:sz w:val="22"/>
          <w:szCs w:val="22"/>
          <w:lang w:val="en-US"/>
        </w:rPr>
        <w:t>tion. The production was done, primarily, in the tropical zone colonies and the consumption was principally done achieved</w:t>
      </w:r>
      <w:r w:rsidR="006B3943" w:rsidRPr="005E7AA7">
        <w:rPr>
          <w:rFonts w:ascii="Garamond" w:hAnsi="Garamond"/>
          <w:bCs/>
          <w:sz w:val="22"/>
          <w:szCs w:val="22"/>
          <w:lang w:val="en-US"/>
        </w:rPr>
        <w:t xml:space="preserve"> in the </w:t>
      </w:r>
      <w:r w:rsidR="005E7AA7" w:rsidRPr="005E7AA7">
        <w:rPr>
          <w:rFonts w:ascii="Garamond" w:hAnsi="Garamond"/>
          <w:bCs/>
          <w:sz w:val="22"/>
          <w:szCs w:val="22"/>
          <w:lang w:val="en-US"/>
        </w:rPr>
        <w:t>metro poles</w:t>
      </w:r>
      <w:r w:rsidR="006B3943" w:rsidRPr="005E7AA7">
        <w:rPr>
          <w:rFonts w:ascii="Garamond" w:hAnsi="Garamond"/>
          <w:bCs/>
          <w:sz w:val="22"/>
          <w:szCs w:val="22"/>
          <w:lang w:val="en-US"/>
        </w:rPr>
        <w:t xml:space="preserve"> of Europe. </w:t>
      </w:r>
    </w:p>
    <w:p w:rsidR="00A147B6" w:rsidRPr="005E7AA7" w:rsidRDefault="006B3943" w:rsidP="00A147B6">
      <w:pPr>
        <w:rPr>
          <w:rFonts w:ascii="Garamond" w:hAnsi="Garamond"/>
          <w:bCs/>
          <w:sz w:val="22"/>
          <w:szCs w:val="22"/>
          <w:lang w:val="en-US"/>
        </w:rPr>
      </w:pPr>
      <w:r w:rsidRPr="005E7AA7">
        <w:rPr>
          <w:rFonts w:ascii="Garamond" w:hAnsi="Garamond"/>
          <w:bCs/>
          <w:sz w:val="22"/>
          <w:szCs w:val="22"/>
          <w:lang w:val="en-US"/>
        </w:rPr>
        <w:t xml:space="preserve">Today these same food commodities are part of a globalized trade. The products of tea, sugar, tobacco, chocolate and coffee are found in virtually all regions of the planet that have human inhabitants.  These products are grown, manufactured, packaged, transported and sold through networks that are largely controlled by multinational corporations. </w:t>
      </w:r>
      <w:r w:rsidR="00A147B6" w:rsidRPr="005E7AA7">
        <w:rPr>
          <w:rFonts w:ascii="Garamond" w:hAnsi="Garamond"/>
          <w:bCs/>
          <w:sz w:val="22"/>
          <w:szCs w:val="22"/>
          <w:lang w:val="en-US"/>
        </w:rPr>
        <w:t xml:space="preserve">Consumers purchase these products in containers bearing corporate logos, which aid and promote the instant public identification of the company. </w:t>
      </w:r>
    </w:p>
    <w:p w:rsidR="003F1D80" w:rsidRPr="005E7AA7" w:rsidRDefault="00A147B6" w:rsidP="005E7AA7">
      <w:pPr>
        <w:rPr>
          <w:rFonts w:ascii="Garamond" w:hAnsi="Garamond"/>
          <w:bCs/>
          <w:sz w:val="22"/>
          <w:szCs w:val="22"/>
          <w:lang w:val="en-US"/>
        </w:rPr>
      </w:pPr>
      <w:r w:rsidRPr="005E7AA7">
        <w:rPr>
          <w:rFonts w:ascii="Garamond" w:hAnsi="Garamond"/>
          <w:bCs/>
          <w:sz w:val="22"/>
          <w:szCs w:val="22"/>
          <w:lang w:val="en-US"/>
        </w:rPr>
        <w:t xml:space="preserve">These corporate logos have </w:t>
      </w:r>
      <w:r w:rsidR="003379E8" w:rsidRPr="005E7AA7">
        <w:rPr>
          <w:rFonts w:ascii="Garamond" w:hAnsi="Garamond"/>
          <w:bCs/>
          <w:sz w:val="22"/>
          <w:szCs w:val="22"/>
          <w:lang w:val="en-US"/>
        </w:rPr>
        <w:t xml:space="preserve">symbolic </w:t>
      </w:r>
      <w:r w:rsidRPr="005E7AA7">
        <w:rPr>
          <w:rFonts w:ascii="Garamond" w:hAnsi="Garamond"/>
          <w:bCs/>
          <w:sz w:val="22"/>
          <w:szCs w:val="22"/>
          <w:lang w:val="en-US"/>
        </w:rPr>
        <w:t>meaning</w:t>
      </w:r>
      <w:r w:rsidR="00C870EA" w:rsidRPr="005E7AA7">
        <w:rPr>
          <w:rFonts w:ascii="Garamond" w:hAnsi="Garamond"/>
          <w:bCs/>
          <w:sz w:val="22"/>
          <w:szCs w:val="22"/>
          <w:lang w:val="en-US"/>
        </w:rPr>
        <w:t>s</w:t>
      </w:r>
      <w:r w:rsidRPr="005E7AA7">
        <w:rPr>
          <w:rFonts w:ascii="Garamond" w:hAnsi="Garamond"/>
          <w:bCs/>
          <w:sz w:val="22"/>
          <w:szCs w:val="22"/>
          <w:lang w:val="en-US"/>
        </w:rPr>
        <w:t xml:space="preserve"> to the consumers of the products. </w:t>
      </w:r>
      <w:r w:rsidR="00C870EA" w:rsidRPr="005E7AA7">
        <w:rPr>
          <w:rFonts w:ascii="Garamond" w:hAnsi="Garamond"/>
          <w:bCs/>
          <w:sz w:val="22"/>
          <w:szCs w:val="22"/>
          <w:lang w:val="en-US"/>
        </w:rPr>
        <w:t>Corporations use their economic, social, and political power to shape and enhance meaning to i</w:t>
      </w:r>
      <w:r w:rsidRPr="005E7AA7">
        <w:rPr>
          <w:rFonts w:ascii="Garamond" w:hAnsi="Garamond"/>
          <w:bCs/>
          <w:sz w:val="22"/>
          <w:szCs w:val="22"/>
          <w:lang w:val="en-US"/>
        </w:rPr>
        <w:t xml:space="preserve">nclude notions of quality, purity, social good, social status, health, ethnic or religious identity, and more. </w:t>
      </w:r>
      <w:r w:rsidR="00637D2B" w:rsidRPr="005E7AA7">
        <w:rPr>
          <w:rFonts w:ascii="Garamond" w:hAnsi="Garamond"/>
          <w:bCs/>
          <w:sz w:val="22"/>
          <w:szCs w:val="22"/>
          <w:lang w:val="en-US"/>
        </w:rPr>
        <w:t xml:space="preserve">The </w:t>
      </w:r>
      <w:r w:rsidR="0042039C" w:rsidRPr="005E7AA7">
        <w:rPr>
          <w:rFonts w:ascii="Garamond" w:hAnsi="Garamond"/>
          <w:bCs/>
          <w:sz w:val="22"/>
          <w:szCs w:val="22"/>
          <w:lang w:val="en-US"/>
        </w:rPr>
        <w:t xml:space="preserve">globalized </w:t>
      </w:r>
      <w:r w:rsidR="00637D2B" w:rsidRPr="005E7AA7">
        <w:rPr>
          <w:rFonts w:ascii="Garamond" w:hAnsi="Garamond"/>
          <w:bCs/>
          <w:sz w:val="22"/>
          <w:szCs w:val="22"/>
          <w:lang w:val="en-US"/>
        </w:rPr>
        <w:t xml:space="preserve">soft drink </w:t>
      </w:r>
      <w:r w:rsidR="0042039C" w:rsidRPr="005E7AA7">
        <w:rPr>
          <w:rFonts w:ascii="Garamond" w:hAnsi="Garamond"/>
          <w:bCs/>
          <w:i/>
          <w:sz w:val="22"/>
          <w:szCs w:val="22"/>
          <w:lang w:val="en-US"/>
        </w:rPr>
        <w:t>Coca-Cola</w:t>
      </w:r>
      <w:r w:rsidR="00974257" w:rsidRPr="005E7AA7">
        <w:rPr>
          <w:rFonts w:ascii="Garamond" w:hAnsi="Garamond"/>
          <w:sz w:val="22"/>
          <w:szCs w:val="22"/>
          <w:vertAlign w:val="superscript"/>
          <w:lang w:val="en-US"/>
        </w:rPr>
        <w:t>®</w:t>
      </w:r>
      <w:r w:rsidR="00637D2B" w:rsidRPr="005E7AA7">
        <w:rPr>
          <w:rFonts w:ascii="Garamond" w:hAnsi="Garamond"/>
          <w:bCs/>
          <w:sz w:val="22"/>
          <w:szCs w:val="22"/>
          <w:lang w:val="en-US"/>
        </w:rPr>
        <w:t xml:space="preserve"> is one well-researched example of the meaning imbued in a product and is corporate logo</w:t>
      </w:r>
      <w:r w:rsidR="0042039C" w:rsidRPr="005E7AA7">
        <w:rPr>
          <w:rFonts w:ascii="Garamond" w:hAnsi="Garamond"/>
          <w:bCs/>
          <w:sz w:val="22"/>
          <w:szCs w:val="22"/>
          <w:lang w:val="en-US"/>
        </w:rPr>
        <w:t>.</w:t>
      </w:r>
      <w:r w:rsidR="00C870EA" w:rsidRPr="005E7AA7">
        <w:rPr>
          <w:rFonts w:ascii="Garamond" w:hAnsi="Garamond"/>
          <w:bCs/>
          <w:sz w:val="22"/>
          <w:szCs w:val="22"/>
          <w:lang w:val="en-US"/>
        </w:rPr>
        <w:t xml:space="preserve"> </w:t>
      </w:r>
      <w:r w:rsidR="00637D2B" w:rsidRPr="005E7AA7">
        <w:rPr>
          <w:rFonts w:ascii="Garamond" w:hAnsi="Garamond"/>
          <w:bCs/>
          <w:sz w:val="22"/>
          <w:szCs w:val="22"/>
          <w:lang w:val="en-US"/>
        </w:rPr>
        <w:t>We focus on Coca-Cola (also referred to as Coke)</w:t>
      </w:r>
      <w:r w:rsidR="003F1D80" w:rsidRPr="005E7AA7">
        <w:rPr>
          <w:rFonts w:ascii="Garamond" w:hAnsi="Garamond"/>
          <w:bCs/>
          <w:sz w:val="22"/>
          <w:szCs w:val="22"/>
          <w:lang w:val="en-US"/>
        </w:rPr>
        <w:t xml:space="preserve"> </w:t>
      </w:r>
      <w:r w:rsidR="001153CD" w:rsidRPr="005E7AA7">
        <w:rPr>
          <w:rFonts w:ascii="Garamond" w:hAnsi="Garamond"/>
          <w:bCs/>
          <w:sz w:val="22"/>
          <w:szCs w:val="22"/>
          <w:lang w:val="en-US"/>
        </w:rPr>
        <w:t>be</w:t>
      </w:r>
      <w:r w:rsidR="005B0A5A" w:rsidRPr="005E7AA7">
        <w:rPr>
          <w:rFonts w:ascii="Garamond" w:hAnsi="Garamond"/>
          <w:bCs/>
          <w:sz w:val="22"/>
          <w:szCs w:val="22"/>
          <w:lang w:val="en-US"/>
        </w:rPr>
        <w:t>cause</w:t>
      </w:r>
      <w:r w:rsidR="00637D2B" w:rsidRPr="005E7AA7">
        <w:rPr>
          <w:rFonts w:ascii="Garamond" w:hAnsi="Garamond"/>
          <w:bCs/>
          <w:sz w:val="22"/>
          <w:szCs w:val="22"/>
          <w:lang w:val="en-US"/>
        </w:rPr>
        <w:t xml:space="preserve"> </w:t>
      </w:r>
      <w:r w:rsidR="005B0A5A" w:rsidRPr="005E7AA7">
        <w:rPr>
          <w:rFonts w:ascii="Garamond" w:hAnsi="Garamond"/>
          <w:bCs/>
          <w:sz w:val="22"/>
          <w:szCs w:val="22"/>
          <w:lang w:val="en-US"/>
        </w:rPr>
        <w:t>the Mexican people are currently the greatest per capita consumers of Coca-Cola of any nationality (see data below).  It is claimed that the Mexican State of Yucatan may have the highest Coke consumption of all Mexico (</w:t>
      </w:r>
      <w:hyperlink r:id="rId12" w:history="1">
        <w:r w:rsidR="005B0A5A" w:rsidRPr="005E7AA7">
          <w:rPr>
            <w:rStyle w:val="Hyperlink"/>
            <w:rFonts w:ascii="Garamond" w:hAnsi="Garamond"/>
            <w:bCs/>
            <w:sz w:val="22"/>
            <w:szCs w:val="22"/>
          </w:rPr>
          <w:t>http://www.yucatanliving.com/culture/mexico-sweet-mexico.htm</w:t>
        </w:r>
      </w:hyperlink>
      <w:r w:rsidR="005B0A5A" w:rsidRPr="005E7AA7">
        <w:rPr>
          <w:rFonts w:ascii="Garamond" w:hAnsi="Garamond"/>
          <w:bCs/>
          <w:sz w:val="22"/>
          <w:szCs w:val="22"/>
          <w:lang w:val="en-US"/>
        </w:rPr>
        <w:t xml:space="preserve">). The Maya people of Yucatan, Mexico </w:t>
      </w:r>
      <w:r w:rsidR="001153CD" w:rsidRPr="005E7AA7">
        <w:rPr>
          <w:rFonts w:ascii="Garamond" w:hAnsi="Garamond"/>
          <w:bCs/>
          <w:sz w:val="22"/>
          <w:szCs w:val="22"/>
          <w:lang w:val="en-US"/>
        </w:rPr>
        <w:t>have been</w:t>
      </w:r>
      <w:r w:rsidR="005B0A5A" w:rsidRPr="005E7AA7">
        <w:rPr>
          <w:rFonts w:ascii="Garamond" w:hAnsi="Garamond"/>
          <w:bCs/>
          <w:sz w:val="22"/>
          <w:szCs w:val="22"/>
          <w:lang w:val="en-US"/>
        </w:rPr>
        <w:t xml:space="preserve"> one of the targets of the Coca-Cola Corporation’s sales campaigns</w:t>
      </w:r>
      <w:r w:rsidR="001153CD" w:rsidRPr="005E7AA7">
        <w:rPr>
          <w:rFonts w:ascii="Garamond" w:hAnsi="Garamond"/>
          <w:bCs/>
          <w:sz w:val="22"/>
          <w:szCs w:val="22"/>
          <w:lang w:val="en-US"/>
        </w:rPr>
        <w:t xml:space="preserve"> for at least the past 20 years</w:t>
      </w:r>
      <w:r w:rsidR="005B0A5A" w:rsidRPr="005E7AA7">
        <w:rPr>
          <w:rFonts w:ascii="Garamond" w:hAnsi="Garamond"/>
          <w:bCs/>
          <w:sz w:val="22"/>
          <w:szCs w:val="22"/>
          <w:lang w:val="en-US"/>
        </w:rPr>
        <w:t xml:space="preserve"> </w:t>
      </w:r>
      <w:r w:rsidR="005B0A5A"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"URL" : "http://english.periodismohumano.com/2013/03/05/the-coca-colization-of-mexico-the-spark-of-obesity/", "accessed" : { "date-parts" : [ [ "2014", "1", "11" ] ] }, "author" : [ { "dropping-particle" : "", "family" : "Verza", "given" : "Maria", "non-dropping-particle" : "", "parse-names" : false, "suffix" : "" } ], "container-title" : "periodismohumano", "id" : "ITEM-1", "issued" : { "date-parts" : [ [ "2013" ] ] }, "title" : "The \u201cCoca-Colization\u201d of Mexico, the Spark of Obesity", "type" : "webpage" }, "uris" : [ "http://www.mendeley.com/documents/?uuid=16db957b-4188-4daf-a0ed-1670a6ab34fa" ] }, { "id" : "ITEM-2", "itemData" : { "PMID" : "15950095", "abstract" : "Over the past three decades, tourism-based economic development has transformed social and economic conditions in the Yucatan Peninsula, Mexico. Mayan communities have become directly involved in the changing economy as the main source of inexpensive labor for construction and service jobs at tourism centers, and as sites of ecotourism and archeotourism. In this paper, we address how these macro-processes of change intersect locally with the commoditization of food systems, diets and nutrition in four Yucatec Mayan communities with differing relationships to the tourist economy. Yucatec Mayan diets have become increasingly dependent on purchased foods, and reflect a greater consumption of commercialized processed foods. Coca-Cola, an international icon of US culture, along with other local and internationally owned calorie-dense but nutrient-poor snack foods, is now a common element of Mayan diets, leading to what we call \"coca-colonization.\" The consequences of this diet, likely exacerbated by the increased consumption of snack foods, include an apparent increase in overweight and obese adults as well as signs of growth stunting in children. The Maya we talked with recognize both the potential disruption that tourism brings to all aspects of their lives and the necessity of jobs that tourism creates to meet their families' basic needs.", "author" : [ { "dropping-particle" : "", "family" : "Leatherman", "given" : "Thomas L", "non-dropping-particle" : "", "parse-names" : false, "suffix" : "" }, { "dropping-particle" : "", "family" : "Goodman", "given" : "Alan", "non-dropping-particle" : "", "parse-names" : false, "suffix" : "" } ], "container-title" : "Social science medicine", "id" : "ITEM-2", "issue" : "4", "issued" : { "date-parts" : [ [ "2005" ] ] }, "page" : "833-846", "title" : "Coca-colonization of diets in the Yucatan.", "type" : "article-journal", "volume" : "61" }, "uris" : [ "http://www.mendeley.com/documents/?uuid=d427b5de-04e6-42f2-be7f-1145831e7671" ] } ], "mendeley" : { "previouslyFormattedCitation" : "(Leatherman and Goodman, 2005; Verza, 2013)" }, "properties" : { "noteIndex" : 0 }, "schema" : "https://github.com/citation-style-language/schema/raw/master/csl-citation.json" }</w:instrText>
      </w:r>
      <w:r w:rsidR="005B0A5A" w:rsidRPr="005E7AA7">
        <w:rPr>
          <w:rFonts w:ascii="Garamond" w:hAnsi="Garamond"/>
          <w:bCs/>
          <w:sz w:val="22"/>
          <w:szCs w:val="22"/>
          <w:lang w:val="en-US"/>
        </w:rPr>
        <w:fldChar w:fldCharType="separate"/>
      </w:r>
      <w:r w:rsidR="001153CD" w:rsidRPr="005E7AA7">
        <w:rPr>
          <w:rFonts w:ascii="Garamond" w:hAnsi="Garamond"/>
          <w:bCs/>
          <w:noProof/>
          <w:sz w:val="22"/>
          <w:szCs w:val="22"/>
          <w:lang w:val="en-US"/>
        </w:rPr>
        <w:t>(Leatherman and Goodman, 2005; Verza, 2013)</w:t>
      </w:r>
      <w:r w:rsidR="005B0A5A" w:rsidRPr="005E7AA7">
        <w:rPr>
          <w:rFonts w:ascii="Garamond" w:hAnsi="Garamond"/>
          <w:bCs/>
          <w:sz w:val="22"/>
          <w:szCs w:val="22"/>
          <w:lang w:val="en-US"/>
        </w:rPr>
        <w:fldChar w:fldCharType="end"/>
      </w:r>
      <w:r w:rsidR="001153CD" w:rsidRPr="005E7AA7">
        <w:rPr>
          <w:rFonts w:ascii="Garamond" w:hAnsi="Garamond"/>
          <w:bCs/>
          <w:sz w:val="22"/>
          <w:szCs w:val="22"/>
          <w:lang w:val="en-US"/>
        </w:rPr>
        <w:t xml:space="preserve">. The globalization of Maya diets has not been caused by Coca-Cola alone, but this globally most popular of all carbonated, sugar-sweetened soft drinks is part of the story of the globalization of children’s diets. </w:t>
      </w:r>
    </w:p>
    <w:p w:rsidR="005D2039" w:rsidRPr="005E7AA7" w:rsidRDefault="005D2039" w:rsidP="000240F4">
      <w:pPr>
        <w:rPr>
          <w:rFonts w:ascii="Garamond" w:hAnsi="Garamond"/>
          <w:bCs/>
          <w:sz w:val="22"/>
          <w:szCs w:val="22"/>
          <w:lang w:val="en-US"/>
        </w:rPr>
      </w:pPr>
      <w:r w:rsidRPr="005E7AA7">
        <w:rPr>
          <w:rFonts w:ascii="Garamond" w:hAnsi="Garamond"/>
          <w:bCs/>
          <w:sz w:val="22"/>
          <w:szCs w:val="22"/>
          <w:lang w:val="en-US"/>
        </w:rPr>
        <w:t>The ‘Coca-Colonization’ of the Yucatan</w:t>
      </w:r>
    </w:p>
    <w:p w:rsidR="005D2039" w:rsidRPr="005E7AA7" w:rsidRDefault="0062105C" w:rsidP="00FB3D45">
      <w:pPr>
        <w:rPr>
          <w:rFonts w:ascii="Garamond" w:hAnsi="Garamond"/>
          <w:bCs/>
          <w:sz w:val="22"/>
          <w:szCs w:val="22"/>
          <w:lang w:val="en-US"/>
        </w:rPr>
      </w:pPr>
      <w:r w:rsidRPr="005E7AA7">
        <w:rPr>
          <w:rFonts w:ascii="Garamond" w:hAnsi="Garamond"/>
          <w:bCs/>
          <w:sz w:val="22"/>
          <w:szCs w:val="22"/>
          <w:lang w:val="en-US"/>
        </w:rPr>
        <w:t xml:space="preserve">The term ‘Coca-Colonization’ may have first been used by in 1949 </w:t>
      </w:r>
      <w:r w:rsidR="00FB3D45" w:rsidRPr="005E7AA7">
        <w:rPr>
          <w:rFonts w:ascii="Garamond" w:hAnsi="Garamond"/>
          <w:bCs/>
          <w:sz w:val="22"/>
          <w:szCs w:val="22"/>
          <w:lang w:val="en-US"/>
        </w:rPr>
        <w:t>by the</w:t>
      </w:r>
      <w:r w:rsidRPr="005E7AA7">
        <w:rPr>
          <w:rFonts w:ascii="Garamond" w:hAnsi="Garamond"/>
          <w:bCs/>
          <w:sz w:val="22"/>
          <w:szCs w:val="22"/>
          <w:lang w:val="en-US"/>
        </w:rPr>
        <w:t xml:space="preserve"> </w:t>
      </w:r>
      <w:r w:rsidR="00FB3D45" w:rsidRPr="005E7AA7">
        <w:rPr>
          <w:rFonts w:ascii="Garamond" w:hAnsi="Garamond"/>
          <w:bCs/>
          <w:sz w:val="22"/>
          <w:szCs w:val="22"/>
          <w:lang w:val="en-US"/>
        </w:rPr>
        <w:t xml:space="preserve"> newspaper </w:t>
      </w:r>
      <w:proofErr w:type="spellStart"/>
      <w:r w:rsidR="00FB3D45" w:rsidRPr="005E7AA7">
        <w:rPr>
          <w:rFonts w:ascii="Garamond" w:hAnsi="Garamond"/>
          <w:bCs/>
          <w:i/>
          <w:iCs/>
          <w:sz w:val="22"/>
          <w:szCs w:val="22"/>
          <w:lang w:val="en-US"/>
        </w:rPr>
        <w:t>L'Humanite</w:t>
      </w:r>
      <w:proofErr w:type="spellEnd"/>
      <w:r w:rsidR="00FB3D45" w:rsidRPr="005E7AA7">
        <w:rPr>
          <w:rFonts w:ascii="Garamond" w:hAnsi="Garamond"/>
          <w:bCs/>
          <w:sz w:val="22"/>
          <w:szCs w:val="22"/>
          <w:lang w:val="en-US"/>
        </w:rPr>
        <w:t xml:space="preserve"> </w:t>
      </w:r>
      <w:r w:rsidR="00FB3D45"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"author" : [ { "dropping-particle" : "", "family" : "Kuisel", "given" : "Richard F", "non-dropping-particle" : "", "parse-names" : false, "suffix" : "" } ], "container-title" : "French Historical Studies", "id" : "ITEM-1", "issue" : "1", "issued" : { "date-parts" : [ [ "1991" ] ] }, "page" : "96-116", "title" : "Coca-Cola and the Cold War_The French Face Americanization, 1948-1953.pdf", "type" : "article-journal", "volume" : "17" }, "uris" : [ "http://www.mendeley.com/documents/?uuid=f2675212-a77d-4b7a-9dd9-8daad108c0ea" ] } ], "mendeley" : { "previouslyFormattedCitation" : "(Kuisel, 1991)" }, "properties" : { "noteIndex" : 0 }, "schema" : "https://github.com/citation-style-language/schema/raw/master/csl-citation.json" }</w:instrText>
      </w:r>
      <w:r w:rsidR="00FB3D45" w:rsidRPr="005E7AA7">
        <w:rPr>
          <w:rFonts w:ascii="Garamond" w:hAnsi="Garamond"/>
          <w:bCs/>
          <w:sz w:val="22"/>
          <w:szCs w:val="22"/>
          <w:lang w:val="en-US"/>
        </w:rPr>
        <w:fldChar w:fldCharType="separate"/>
      </w:r>
      <w:r w:rsidR="003C103F" w:rsidRPr="005E7AA7">
        <w:rPr>
          <w:rFonts w:ascii="Garamond" w:hAnsi="Garamond"/>
          <w:bCs/>
          <w:noProof/>
          <w:sz w:val="22"/>
          <w:szCs w:val="22"/>
          <w:lang w:val="en-US"/>
        </w:rPr>
        <w:t>(Kuisel, 1991)</w:t>
      </w:r>
      <w:r w:rsidR="00FB3D45" w:rsidRPr="005E7AA7">
        <w:rPr>
          <w:rFonts w:ascii="Garamond" w:hAnsi="Garamond"/>
          <w:bCs/>
          <w:sz w:val="22"/>
          <w:szCs w:val="22"/>
          <w:lang w:val="en-US"/>
        </w:rPr>
        <w:fldChar w:fldCharType="end"/>
      </w:r>
      <w:r w:rsidR="00FB3D45" w:rsidRPr="005E7AA7">
        <w:rPr>
          <w:rFonts w:ascii="Garamond" w:hAnsi="Garamond"/>
          <w:bCs/>
          <w:sz w:val="22"/>
          <w:szCs w:val="22"/>
          <w:lang w:val="en-US"/>
        </w:rPr>
        <w:t xml:space="preserve"> and then again by the American magazine </w:t>
      </w:r>
      <w:r w:rsidR="00FB3D45" w:rsidRPr="005E7AA7">
        <w:rPr>
          <w:rFonts w:ascii="Garamond" w:hAnsi="Garamond"/>
          <w:bCs/>
          <w:i/>
          <w:iCs/>
          <w:sz w:val="22"/>
          <w:szCs w:val="22"/>
          <w:lang w:val="en-US"/>
        </w:rPr>
        <w:t>Time</w:t>
      </w:r>
      <w:r w:rsidR="00FB3D45" w:rsidRPr="005E7AA7">
        <w:rPr>
          <w:rFonts w:ascii="Garamond" w:hAnsi="Garamond"/>
          <w:bCs/>
          <w:sz w:val="22"/>
          <w:szCs w:val="22"/>
          <w:lang w:val="en-US"/>
        </w:rPr>
        <w:t xml:space="preserve"> in </w:t>
      </w:r>
      <w:r w:rsidRPr="005E7AA7">
        <w:rPr>
          <w:rFonts w:ascii="Garamond" w:hAnsi="Garamond"/>
          <w:bCs/>
          <w:sz w:val="22"/>
          <w:szCs w:val="22"/>
          <w:lang w:val="en-US"/>
        </w:rPr>
        <w:t>1950 to describe the post</w:t>
      </w:r>
      <w:r w:rsidR="00FB3D45" w:rsidRPr="005E7AA7">
        <w:rPr>
          <w:rFonts w:ascii="Garamond" w:hAnsi="Garamond"/>
          <w:bCs/>
          <w:sz w:val="22"/>
          <w:szCs w:val="22"/>
          <w:lang w:val="en-US"/>
        </w:rPr>
        <w:t>-</w:t>
      </w:r>
      <w:r w:rsidRPr="005E7AA7">
        <w:rPr>
          <w:rFonts w:ascii="Garamond" w:hAnsi="Garamond"/>
          <w:bCs/>
          <w:sz w:val="22"/>
          <w:szCs w:val="22"/>
          <w:lang w:val="en-US"/>
        </w:rPr>
        <w:t>World War II sales offensive of the Coca Cola Company in Europe (</w:t>
      </w:r>
      <w:hyperlink r:id="rId13" w:history="1">
        <w:r w:rsidRPr="005E7AA7">
          <w:rPr>
            <w:rStyle w:val="Hyperlink"/>
            <w:rFonts w:ascii="Garamond" w:hAnsi="Garamond"/>
            <w:bCs/>
            <w:sz w:val="22"/>
            <w:szCs w:val="22"/>
            <w:lang w:val="en-US"/>
          </w:rPr>
          <w:t>http://content.time.com/time/magazine/article/0,9171,812138-1,00.html</w:t>
        </w:r>
      </w:hyperlink>
      <w:r w:rsidRPr="005E7AA7">
        <w:rPr>
          <w:rFonts w:ascii="Garamond" w:hAnsi="Garamond"/>
          <w:bCs/>
          <w:sz w:val="22"/>
          <w:szCs w:val="22"/>
          <w:lang w:val="en-US"/>
        </w:rPr>
        <w:t xml:space="preserve">). Since then the term has come to mean both the globalization of this particular beverage and also the process of commodity globalization in general.  </w:t>
      </w:r>
    </w:p>
    <w:p w:rsidR="00D21204" w:rsidRPr="005E7AA7" w:rsidRDefault="00E531E7" w:rsidP="00607DA7">
      <w:pPr>
        <w:rPr>
          <w:rFonts w:ascii="Garamond" w:hAnsi="Garamond"/>
          <w:bCs/>
          <w:sz w:val="22"/>
          <w:szCs w:val="22"/>
          <w:lang w:val="en-US"/>
        </w:rPr>
      </w:pPr>
      <w:r w:rsidRPr="005E7AA7">
        <w:rPr>
          <w:rFonts w:ascii="Garamond" w:hAnsi="Garamond"/>
          <w:bCs/>
          <w:sz w:val="22"/>
          <w:szCs w:val="22"/>
          <w:lang w:val="en-US"/>
        </w:rPr>
        <w:t xml:space="preserve">Leatherman and Goodman </w:t>
      </w:r>
      <w:r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"PMID" : "15950095", "abstract" : "Over the past three decades, tourism-based economic development has transformed social and economic conditions in the Yucatan Peninsula, Mexico. Mayan communities have become directly involved in the changing economy as the main source of inexpensive labor for construction and service jobs at tourism centers, and as sites of ecotourism and archeotourism. In this paper, we address how these macro-processes of change intersect locally with the commoditization of food systems, diets and nutrition in four Yucatec Mayan communities with differing relationships to the tourist economy. Yucatec Mayan diets have become increasingly dependent on purchased foods, and reflect a greater consumption of commercialized processed foods. Coca-Cola, an international icon of US culture, along with other local and internationally owned calorie-dense but nutrient-poor snack foods, is now a common element of Mayan diets, leading to what we call \"coca-colonization.\" The consequences of this diet, likely exacerbated by the increased consumption of snack foods, include an apparent increase in overweight and obese adults as well as signs of growth stunting in children. The Maya we talked with recognize both the potential disruption that tourism brings to all aspects of their lives and the necessity of jobs that tourism creates to meet their families' basic needs.", "author" : [ { "dropping-particle" : "", "family" : "Leatherman", "given" : "Thomas L", "non-dropping-particle" : "", "parse-names" : false, "suffix" : "" }, { "dropping-particle" : "", "family" : "Goodman", "given" : "Alan", "non-dropping-particle" : "", "parse-names" : false, "suffix" : "" } ], "container-title" : "Social science medicine", "id" : "ITEM-1", "issue" : "4", "issued" : { "date-parts" : [ [ "2005" ] ] }, "page" : "833-846", "title" : "Coca-colonization of diets in the Yucatan.", "type" : "article-journal", "volume" : "61" }, "uris" : [ "http://www.mendeley.com/documents/?uuid=d427b5de-04e6-42f2-be7f-1145831e7671" ] } ], "mendeley" : { "manualFormatting" : "(2005)", "previouslyFormattedCitation" : "(Leatherman and Goodman, 2005)" }, "properties" : { "noteIndex" : 0 }, "schema" : "https://github.com/citation-style-language/schema/raw/master/csl-citation.json" }</w:instrText>
      </w:r>
      <w:r w:rsidRPr="005E7AA7">
        <w:rPr>
          <w:rFonts w:ascii="Garamond" w:hAnsi="Garamond"/>
          <w:bCs/>
          <w:sz w:val="22"/>
          <w:szCs w:val="22"/>
          <w:lang w:val="en-US"/>
        </w:rPr>
        <w:fldChar w:fldCharType="separate"/>
      </w:r>
      <w:r w:rsidRPr="005E7AA7">
        <w:rPr>
          <w:rFonts w:ascii="Garamond" w:hAnsi="Garamond"/>
          <w:bCs/>
          <w:noProof/>
          <w:sz w:val="22"/>
          <w:szCs w:val="22"/>
          <w:lang w:val="en-US"/>
        </w:rPr>
        <w:t>(2005)</w:t>
      </w:r>
      <w:r w:rsidRPr="005E7AA7">
        <w:rPr>
          <w:rFonts w:ascii="Garamond" w:hAnsi="Garamond"/>
          <w:bCs/>
          <w:sz w:val="22"/>
          <w:szCs w:val="22"/>
          <w:lang w:val="en-US"/>
        </w:rPr>
        <w:fldChar w:fldCharType="end"/>
      </w:r>
      <w:r w:rsidRPr="005E7AA7">
        <w:rPr>
          <w:rFonts w:ascii="Garamond" w:hAnsi="Garamond"/>
          <w:bCs/>
          <w:sz w:val="22"/>
          <w:szCs w:val="22"/>
          <w:lang w:val="en-US"/>
        </w:rPr>
        <w:t xml:space="preserve"> titled their analysis of diets in four Yucatec Mayan communities ‘Coca-colonization of diets in the Yucatan.’  By this title they mean “…the pervading presence of </w:t>
      </w:r>
      <w:r w:rsidRPr="005E7AA7">
        <w:rPr>
          <w:rFonts w:ascii="Garamond" w:hAnsi="Garamond"/>
          <w:bCs/>
          <w:i/>
          <w:iCs/>
          <w:sz w:val="22"/>
          <w:szCs w:val="22"/>
          <w:lang w:val="en-US"/>
        </w:rPr>
        <w:t>Coca-Colas</w:t>
      </w:r>
      <w:r w:rsidR="009667BE" w:rsidRPr="005E7AA7">
        <w:rPr>
          <w:rFonts w:ascii="Garamond" w:hAnsi="Garamond"/>
          <w:bCs/>
          <w:i/>
          <w:iCs/>
          <w:sz w:val="22"/>
          <w:szCs w:val="22"/>
          <w:lang w:val="en-US"/>
        </w:rPr>
        <w:t> </w:t>
      </w:r>
      <w:r w:rsidR="009667BE" w:rsidRPr="005E7AA7">
        <w:rPr>
          <w:rFonts w:ascii="Garamond" w:hAnsi="Garamond"/>
          <w:sz w:val="22"/>
          <w:szCs w:val="22"/>
          <w:vertAlign w:val="superscript"/>
          <w:lang w:val="en-US"/>
        </w:rPr>
        <w:t>®</w:t>
      </w:r>
      <w:r w:rsidRPr="005E7AA7">
        <w:rPr>
          <w:rFonts w:ascii="Garamond" w:hAnsi="Garamond"/>
          <w:bCs/>
          <w:sz w:val="22"/>
          <w:szCs w:val="22"/>
          <w:lang w:val="en-US"/>
        </w:rPr>
        <w:t xml:space="preserve">, </w:t>
      </w:r>
      <w:r w:rsidRPr="005E7AA7">
        <w:rPr>
          <w:rFonts w:ascii="Garamond" w:hAnsi="Garamond"/>
          <w:bCs/>
          <w:i/>
          <w:iCs/>
          <w:sz w:val="22"/>
          <w:szCs w:val="22"/>
          <w:lang w:val="en-US"/>
        </w:rPr>
        <w:t>Pepsis</w:t>
      </w:r>
      <w:r w:rsidR="009667BE" w:rsidRPr="005E7AA7">
        <w:rPr>
          <w:rFonts w:ascii="Garamond" w:hAnsi="Garamond"/>
          <w:sz w:val="22"/>
          <w:szCs w:val="22"/>
          <w:vertAlign w:val="superscript"/>
          <w:lang w:val="en-US"/>
        </w:rPr>
        <w:t>®</w:t>
      </w:r>
      <w:r w:rsidRPr="005E7AA7">
        <w:rPr>
          <w:rFonts w:ascii="Garamond" w:hAnsi="Garamond"/>
          <w:bCs/>
          <w:sz w:val="22"/>
          <w:szCs w:val="22"/>
          <w:lang w:val="en-US"/>
        </w:rPr>
        <w:t>, and an assortment of chips, cookies, candies, and other high-sugar, high-fat snack foods, collectively called ‘‘</w:t>
      </w:r>
      <w:proofErr w:type="spellStart"/>
      <w:r w:rsidRPr="005E7AA7">
        <w:rPr>
          <w:rFonts w:ascii="Garamond" w:hAnsi="Garamond"/>
          <w:bCs/>
          <w:i/>
          <w:iCs/>
          <w:sz w:val="22"/>
          <w:szCs w:val="22"/>
          <w:lang w:val="en-US"/>
        </w:rPr>
        <w:t>comidas</w:t>
      </w:r>
      <w:proofErr w:type="spellEnd"/>
      <w:r w:rsidRPr="005E7AA7">
        <w:rPr>
          <w:rFonts w:ascii="Garamond" w:hAnsi="Garamond"/>
          <w:bCs/>
          <w:i/>
          <w:iCs/>
          <w:sz w:val="22"/>
          <w:szCs w:val="22"/>
          <w:lang w:val="en-US"/>
        </w:rPr>
        <w:t xml:space="preserve"> </w:t>
      </w:r>
      <w:proofErr w:type="spellStart"/>
      <w:r w:rsidRPr="005E7AA7">
        <w:rPr>
          <w:rFonts w:ascii="Garamond" w:hAnsi="Garamond"/>
          <w:bCs/>
          <w:i/>
          <w:iCs/>
          <w:sz w:val="22"/>
          <w:szCs w:val="22"/>
          <w:lang w:val="en-US"/>
        </w:rPr>
        <w:t>chatarras</w:t>
      </w:r>
      <w:proofErr w:type="spellEnd"/>
      <w:r w:rsidRPr="005E7AA7">
        <w:rPr>
          <w:rFonts w:ascii="Garamond" w:hAnsi="Garamond"/>
          <w:bCs/>
          <w:sz w:val="22"/>
          <w:szCs w:val="22"/>
          <w:lang w:val="en-US"/>
        </w:rPr>
        <w:t xml:space="preserve">’’ (junk </w:t>
      </w:r>
      <w:r w:rsidR="009667BE" w:rsidRPr="005E7AA7">
        <w:rPr>
          <w:rFonts w:ascii="Garamond" w:hAnsi="Garamond"/>
          <w:bCs/>
          <w:sz w:val="22"/>
          <w:szCs w:val="22"/>
          <w:lang w:val="en-US"/>
        </w:rPr>
        <w:t xml:space="preserve">foods)” (p. 883). </w:t>
      </w:r>
      <w:r w:rsidR="00232F86" w:rsidRPr="005E7AA7">
        <w:rPr>
          <w:rFonts w:ascii="Garamond" w:hAnsi="Garamond"/>
          <w:bCs/>
          <w:sz w:val="22"/>
          <w:szCs w:val="22"/>
          <w:lang w:val="en-US"/>
        </w:rPr>
        <w:t>A</w:t>
      </w:r>
      <w:r w:rsidR="00607DA7" w:rsidRPr="005E7AA7">
        <w:rPr>
          <w:rFonts w:ascii="Garamond" w:hAnsi="Garamond"/>
          <w:bCs/>
          <w:sz w:val="22"/>
          <w:szCs w:val="22"/>
          <w:lang w:val="en-US"/>
        </w:rPr>
        <w:t>ccording to</w:t>
      </w:r>
      <w:r w:rsidR="00232F86" w:rsidRPr="005E7AA7">
        <w:rPr>
          <w:rFonts w:ascii="Garamond" w:hAnsi="Garamond"/>
          <w:bCs/>
          <w:sz w:val="22"/>
          <w:szCs w:val="22"/>
          <w:lang w:val="en-US"/>
        </w:rPr>
        <w:t xml:space="preserve"> a study </w:t>
      </w:r>
      <w:r w:rsidR="00607DA7" w:rsidRPr="005E7AA7">
        <w:rPr>
          <w:rFonts w:ascii="Garamond" w:hAnsi="Garamond"/>
          <w:bCs/>
          <w:sz w:val="22"/>
          <w:szCs w:val="22"/>
          <w:lang w:val="en-US"/>
        </w:rPr>
        <w:t>by</w:t>
      </w:r>
      <w:r w:rsidR="00232F86" w:rsidRPr="005E7AA7">
        <w:rPr>
          <w:rFonts w:ascii="Garamond" w:hAnsi="Garamond"/>
          <w:bCs/>
          <w:sz w:val="22"/>
          <w:szCs w:val="22"/>
          <w:lang w:val="en-US"/>
        </w:rPr>
        <w:t xml:space="preserve"> Yale University's </w:t>
      </w:r>
      <w:r w:rsidR="00232F86" w:rsidRPr="005E7AA7">
        <w:rPr>
          <w:rFonts w:ascii="Garamond" w:hAnsi="Garamond"/>
          <w:bCs/>
          <w:sz w:val="22"/>
          <w:szCs w:val="22"/>
          <w:lang w:val="en-US"/>
        </w:rPr>
        <w:lastRenderedPageBreak/>
        <w:t>Rudd Center for Food Policy and Obesity</w:t>
      </w:r>
      <w:r w:rsidR="00607DA7" w:rsidRPr="005E7AA7">
        <w:rPr>
          <w:rFonts w:ascii="Garamond" w:hAnsi="Garamond"/>
          <w:bCs/>
          <w:sz w:val="22"/>
          <w:szCs w:val="22"/>
          <w:lang w:val="en-US"/>
        </w:rPr>
        <w:t>,</w:t>
      </w:r>
      <w:r w:rsidR="00232F86" w:rsidRPr="005E7AA7">
        <w:rPr>
          <w:rFonts w:ascii="Garamond" w:hAnsi="Garamond"/>
          <w:bCs/>
          <w:sz w:val="22"/>
          <w:szCs w:val="22"/>
          <w:lang w:val="en-US"/>
        </w:rPr>
        <w:t xml:space="preserve"> </w:t>
      </w:r>
      <w:r w:rsidR="00607DA7" w:rsidRPr="005E7AA7">
        <w:rPr>
          <w:rFonts w:ascii="Garamond" w:hAnsi="Garamond"/>
          <w:bCs/>
          <w:sz w:val="22"/>
          <w:szCs w:val="22"/>
          <w:lang w:val="en-US"/>
        </w:rPr>
        <w:t>b</w:t>
      </w:r>
      <w:r w:rsidR="009667BE" w:rsidRPr="005E7AA7">
        <w:rPr>
          <w:rFonts w:ascii="Garamond" w:hAnsi="Garamond"/>
          <w:bCs/>
          <w:sz w:val="22"/>
          <w:szCs w:val="22"/>
          <w:lang w:val="en-US"/>
        </w:rPr>
        <w:t xml:space="preserve">y the </w:t>
      </w:r>
      <w:r w:rsidR="00232F86" w:rsidRPr="005E7AA7">
        <w:rPr>
          <w:rFonts w:ascii="Garamond" w:hAnsi="Garamond"/>
          <w:bCs/>
          <w:sz w:val="22"/>
          <w:szCs w:val="22"/>
          <w:lang w:val="en-US"/>
        </w:rPr>
        <w:t>y</w:t>
      </w:r>
      <w:r w:rsidR="009667BE" w:rsidRPr="005E7AA7">
        <w:rPr>
          <w:rFonts w:ascii="Garamond" w:hAnsi="Garamond"/>
          <w:bCs/>
          <w:sz w:val="22"/>
          <w:szCs w:val="22"/>
          <w:lang w:val="en-US"/>
        </w:rPr>
        <w:t>ear 2011 Mexico became the number one consumer of soft drinks of all nations, with an average per capita consumption is 163 liters per capita (</w:t>
      </w:r>
      <w:hyperlink r:id="rId14" w:history="1">
        <w:r w:rsidR="009667BE" w:rsidRPr="005E7AA7">
          <w:rPr>
            <w:rStyle w:val="Hyperlink"/>
            <w:rFonts w:ascii="Garamond" w:hAnsi="Garamond"/>
            <w:bCs/>
            <w:sz w:val="22"/>
            <w:szCs w:val="22"/>
            <w:lang w:val="en-US"/>
          </w:rPr>
          <w:t>http://latino.foxnews.com/latino/health/2011/09/06/mexico-leads-world-in-consumption-sugary-drinks-study-says/</w:t>
        </w:r>
      </w:hyperlink>
      <w:r w:rsidR="009667BE" w:rsidRPr="005E7AA7">
        <w:rPr>
          <w:rFonts w:ascii="Garamond" w:hAnsi="Garamond"/>
          <w:bCs/>
          <w:sz w:val="22"/>
          <w:szCs w:val="22"/>
          <w:lang w:val="en-US"/>
        </w:rPr>
        <w:t>).  By comparison the per capita consumption of soft drinks in the United States reaches only 118 liters.</w:t>
      </w:r>
    </w:p>
    <w:p w:rsidR="002B4DC9" w:rsidRPr="005E7AA7" w:rsidRDefault="00D21204" w:rsidP="00F0136B">
      <w:pPr>
        <w:rPr>
          <w:rFonts w:ascii="Garamond" w:hAnsi="Garamond"/>
          <w:bCs/>
          <w:sz w:val="22"/>
          <w:szCs w:val="22"/>
          <w:lang w:val="en-US"/>
        </w:rPr>
      </w:pPr>
      <w:r w:rsidRPr="005E7AA7">
        <w:rPr>
          <w:rFonts w:ascii="Garamond" w:hAnsi="Garamond"/>
          <w:bCs/>
          <w:sz w:val="22"/>
          <w:szCs w:val="22"/>
          <w:lang w:val="en-US"/>
        </w:rPr>
        <w:t xml:space="preserve">Not surprisingly, Mexico is one of the world leaders for diseases associated with poor diet. According to a United Nations report, 7 out of every 10 </w:t>
      </w:r>
      <w:r w:rsidR="00687B64" w:rsidRPr="005E7AA7">
        <w:rPr>
          <w:rFonts w:ascii="Garamond" w:hAnsi="Garamond"/>
          <w:bCs/>
          <w:sz w:val="22"/>
          <w:szCs w:val="22"/>
          <w:lang w:val="en-US"/>
        </w:rPr>
        <w:t>Mexican adults</w:t>
      </w:r>
      <w:r w:rsidR="00F0136B" w:rsidRPr="005E7AA7">
        <w:rPr>
          <w:rFonts w:ascii="Garamond" w:hAnsi="Garamond"/>
          <w:bCs/>
          <w:sz w:val="22"/>
          <w:szCs w:val="22"/>
          <w:lang w:val="en-US"/>
        </w:rPr>
        <w:t xml:space="preserve"> are overweight</w:t>
      </w:r>
      <w:r w:rsidR="00CA0013" w:rsidRPr="005E7AA7">
        <w:rPr>
          <w:rFonts w:ascii="Garamond" w:hAnsi="Garamond"/>
          <w:bCs/>
          <w:sz w:val="22"/>
          <w:szCs w:val="22"/>
          <w:lang w:val="en-US"/>
        </w:rPr>
        <w:t xml:space="preserve"> or obese</w:t>
      </w:r>
      <w:r w:rsidR="00F0136B" w:rsidRPr="005E7AA7">
        <w:rPr>
          <w:rFonts w:ascii="Garamond" w:hAnsi="Garamond"/>
          <w:bCs/>
          <w:sz w:val="22"/>
          <w:szCs w:val="22"/>
          <w:lang w:val="en-US"/>
        </w:rPr>
        <w:t xml:space="preserve"> and diabetes is Mexico’s number 1 cause of death, taking some 70,000 lives a year. </w:t>
      </w:r>
      <w:r w:rsidR="004C0C15" w:rsidRPr="005E7AA7">
        <w:rPr>
          <w:rFonts w:ascii="Garamond" w:hAnsi="Garamond"/>
          <w:bCs/>
          <w:sz w:val="22"/>
          <w:szCs w:val="22"/>
          <w:lang w:val="en-US"/>
        </w:rPr>
        <w:t xml:space="preserve">According to </w:t>
      </w:r>
      <w:r w:rsidR="004F2A00" w:rsidRPr="005E7AA7">
        <w:rPr>
          <w:rFonts w:ascii="Garamond" w:hAnsi="Garamond"/>
          <w:bCs/>
          <w:sz w:val="22"/>
          <w:szCs w:val="22"/>
          <w:lang w:val="en-US"/>
        </w:rPr>
        <w:t xml:space="preserve">the </w:t>
      </w:r>
      <w:r w:rsidR="004C0C15" w:rsidRPr="005E7AA7">
        <w:rPr>
          <w:rFonts w:ascii="Garamond" w:hAnsi="Garamond"/>
          <w:bCs/>
          <w:sz w:val="22"/>
          <w:szCs w:val="22"/>
          <w:lang w:val="en-US"/>
        </w:rPr>
        <w:t xml:space="preserve">2012 </w:t>
      </w:r>
      <w:r w:rsidR="004F2A00" w:rsidRPr="005E7AA7">
        <w:rPr>
          <w:rFonts w:ascii="Garamond" w:hAnsi="Garamond"/>
          <w:bCs/>
          <w:sz w:val="22"/>
          <w:szCs w:val="22"/>
          <w:lang w:val="en-US"/>
        </w:rPr>
        <w:t xml:space="preserve">Mexican National Survey of Health and Nutrition </w:t>
      </w:r>
      <w:r w:rsidR="004F2A00"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"author" : [ { "dropping-particle" : "", "family" : "Instituto Nacional de Salud P\u00fablica", "given" : "", "non-dropping-particle" : "", "parse-names" : false, "suffix" : "" } ], "id" : "ITEM-1", "issued" : { "date-parts" : [ [ "2013" ] ] }, "page" : "1-112", "publisher-place" : "Cuernavaca, M\u00e9xico", "title" : "Encuesta Nacional de Salud y Nutrici\u00f3n 2012. Resultados por entidad federativa, Yucat\u00e1n.", "type" : "report" }, "uris" : [ "http://www.mendeley.com/documents/?uuid=0165bb6f-a4e9-4666-a56b-4ba571d1f0bb" ] } ], "mendeley" : { "previouslyFormattedCitation" : "(Instituto Nacional de Salud P\u00fablica, 2013)" }, "properties" : { "noteIndex" : 0 }, "schema" : "https://github.com/citation-style-language/schema/raw/master/csl-citation.json" }</w:instrText>
      </w:r>
      <w:r w:rsidR="004F2A00" w:rsidRPr="005E7AA7">
        <w:rPr>
          <w:rFonts w:ascii="Garamond" w:hAnsi="Garamond"/>
          <w:bCs/>
          <w:sz w:val="22"/>
          <w:szCs w:val="22"/>
          <w:lang w:val="en-US"/>
        </w:rPr>
        <w:fldChar w:fldCharType="separate"/>
      </w:r>
      <w:r w:rsidR="004F2A00" w:rsidRPr="005E7AA7">
        <w:rPr>
          <w:rFonts w:ascii="Garamond" w:hAnsi="Garamond"/>
          <w:bCs/>
          <w:noProof/>
          <w:sz w:val="22"/>
          <w:szCs w:val="22"/>
          <w:lang w:val="en-US"/>
        </w:rPr>
        <w:t>(Instituto Nacional de Salud Pública, 2013)</w:t>
      </w:r>
      <w:r w:rsidR="004F2A00" w:rsidRPr="005E7AA7">
        <w:rPr>
          <w:rFonts w:ascii="Garamond" w:hAnsi="Garamond"/>
          <w:bCs/>
          <w:sz w:val="22"/>
          <w:szCs w:val="22"/>
          <w:lang w:val="en-US"/>
        </w:rPr>
        <w:fldChar w:fldCharType="end"/>
      </w:r>
      <w:r w:rsidR="004C0C15" w:rsidRPr="005E7AA7">
        <w:rPr>
          <w:rFonts w:ascii="Garamond" w:hAnsi="Garamond"/>
          <w:bCs/>
          <w:sz w:val="22"/>
          <w:szCs w:val="22"/>
          <w:lang w:val="en-US"/>
        </w:rPr>
        <w:t>, 34.4 percent of Mexican children ages 5 to 11 years are obese. This is a higher obesity rate than any other country. The comparable figure in the United States is 16.9 percent (</w:t>
      </w:r>
      <w:hyperlink r:id="rId15" w:history="1">
        <w:r w:rsidR="002B4DC9" w:rsidRPr="005E7AA7">
          <w:rPr>
            <w:rStyle w:val="Hyperlink"/>
            <w:rFonts w:ascii="Garamond" w:hAnsi="Garamond"/>
            <w:sz w:val="22"/>
            <w:szCs w:val="22"/>
            <w:lang w:val="en-US"/>
          </w:rPr>
          <w:t>http://www.therecord.com/living-story/2618264-mexico-facing-a-diabetes-disaster-as-obesity-levels-soar/</w:t>
        </w:r>
      </w:hyperlink>
      <w:r w:rsidR="002B4DC9" w:rsidRPr="005E7AA7">
        <w:rPr>
          <w:rFonts w:ascii="Garamond" w:hAnsi="Garamond"/>
          <w:sz w:val="22"/>
          <w:szCs w:val="22"/>
          <w:lang w:val="en-US"/>
        </w:rPr>
        <w:t>)</w:t>
      </w:r>
      <w:r w:rsidR="004C0C15" w:rsidRPr="005E7AA7">
        <w:rPr>
          <w:rFonts w:ascii="Garamond" w:hAnsi="Garamond"/>
          <w:bCs/>
          <w:sz w:val="22"/>
          <w:szCs w:val="22"/>
          <w:lang w:val="en-US"/>
        </w:rPr>
        <w:t xml:space="preserve">. </w:t>
      </w:r>
    </w:p>
    <w:p w:rsidR="009667BE" w:rsidRPr="005E7AA7" w:rsidRDefault="00D21204" w:rsidP="005E7AA7">
      <w:pPr>
        <w:rPr>
          <w:rFonts w:ascii="Garamond" w:hAnsi="Garamond"/>
          <w:bCs/>
          <w:sz w:val="22"/>
          <w:szCs w:val="22"/>
          <w:lang w:val="en-US"/>
        </w:rPr>
      </w:pPr>
      <w:r w:rsidRPr="005E7AA7">
        <w:rPr>
          <w:rFonts w:ascii="Garamond" w:hAnsi="Garamond"/>
          <w:bCs/>
          <w:sz w:val="22"/>
          <w:szCs w:val="22"/>
          <w:lang w:val="en-US"/>
        </w:rPr>
        <w:t xml:space="preserve">The Mexican government has recognized the tyranny of liquid calories from soft drinks. In October 2013 the Mexican government enacted an eight percent </w:t>
      </w:r>
      <w:r w:rsidR="001E25A0" w:rsidRPr="005E7AA7">
        <w:rPr>
          <w:rFonts w:ascii="Garamond" w:hAnsi="Garamond"/>
          <w:bCs/>
          <w:sz w:val="22"/>
          <w:szCs w:val="22"/>
          <w:lang w:val="en-US"/>
        </w:rPr>
        <w:t>‘sugar tax’ on soft drinks. The tax will impact the lower income people the most</w:t>
      </w:r>
      <w:r w:rsidR="00DB401F" w:rsidRPr="005E7AA7">
        <w:rPr>
          <w:rFonts w:ascii="Garamond" w:hAnsi="Garamond"/>
          <w:bCs/>
          <w:sz w:val="22"/>
          <w:szCs w:val="22"/>
          <w:lang w:val="en-US"/>
        </w:rPr>
        <w:t xml:space="preserve"> as they spend proportionately more of total income on food than do higher income people.</w:t>
      </w:r>
      <w:r w:rsidR="001E25A0" w:rsidRPr="005E7AA7">
        <w:rPr>
          <w:rFonts w:ascii="Garamond" w:hAnsi="Garamond"/>
          <w:bCs/>
          <w:sz w:val="22"/>
          <w:szCs w:val="22"/>
          <w:lang w:val="en-US"/>
        </w:rPr>
        <w:t xml:space="preserve"> </w:t>
      </w:r>
      <w:r w:rsidR="00DB401F" w:rsidRPr="005E7AA7">
        <w:rPr>
          <w:rFonts w:ascii="Garamond" w:hAnsi="Garamond"/>
          <w:bCs/>
          <w:sz w:val="22"/>
          <w:szCs w:val="22"/>
          <w:lang w:val="en-US"/>
        </w:rPr>
        <w:t xml:space="preserve">This economic effect </w:t>
      </w:r>
      <w:r w:rsidR="001E25A0" w:rsidRPr="005E7AA7">
        <w:rPr>
          <w:rFonts w:ascii="Garamond" w:hAnsi="Garamond"/>
          <w:bCs/>
          <w:sz w:val="22"/>
          <w:szCs w:val="22"/>
          <w:lang w:val="en-US"/>
        </w:rPr>
        <w:t xml:space="preserve">may be justified by data showing that </w:t>
      </w:r>
      <w:r w:rsidRPr="005E7AA7">
        <w:rPr>
          <w:rFonts w:ascii="Garamond" w:hAnsi="Garamond"/>
          <w:bCs/>
          <w:sz w:val="22"/>
          <w:szCs w:val="22"/>
          <w:lang w:val="en-US"/>
        </w:rPr>
        <w:t xml:space="preserve">poor parents </w:t>
      </w:r>
      <w:r w:rsidR="001E25A0" w:rsidRPr="005E7AA7">
        <w:rPr>
          <w:rFonts w:ascii="Garamond" w:hAnsi="Garamond"/>
          <w:bCs/>
          <w:sz w:val="22"/>
          <w:szCs w:val="22"/>
          <w:lang w:val="en-US"/>
        </w:rPr>
        <w:t xml:space="preserve">tend to </w:t>
      </w:r>
      <w:r w:rsidRPr="005E7AA7">
        <w:rPr>
          <w:rFonts w:ascii="Garamond" w:hAnsi="Garamond"/>
          <w:bCs/>
          <w:sz w:val="22"/>
          <w:szCs w:val="22"/>
          <w:lang w:val="en-US"/>
        </w:rPr>
        <w:t xml:space="preserve">buy more </w:t>
      </w:r>
      <w:r w:rsidR="001E25A0" w:rsidRPr="005E7AA7">
        <w:rPr>
          <w:rFonts w:ascii="Garamond" w:hAnsi="Garamond"/>
          <w:bCs/>
          <w:sz w:val="22"/>
          <w:szCs w:val="22"/>
          <w:lang w:val="en-US"/>
        </w:rPr>
        <w:t>sugary soft drinks than wealthier parents</w:t>
      </w:r>
      <w:r w:rsidR="00DB401F" w:rsidRPr="005E7AA7">
        <w:rPr>
          <w:rFonts w:ascii="Garamond" w:hAnsi="Garamond"/>
          <w:bCs/>
          <w:sz w:val="22"/>
          <w:szCs w:val="22"/>
          <w:lang w:val="en-US"/>
        </w:rPr>
        <w:t xml:space="preserve"> </w:t>
      </w:r>
      <w:r w:rsidR="00DB401F"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"DOI" : "10.1016/j.jand.2012.09.016.CONSUMPTION", "abstract" : "BACKGROUND: Few previous studies have investigated consumption distributions of sugar-sweetened beverages (SSBs) over time and individual-level associations despite recent interest in SSBs regarding obesity control. OBJECTIVE: To assess consumption patterns and individual-level associations. DESIGN: Trend and cross-sectional analyses of 24-hour dietary recall data and demographic characteristics and socioeconomic status (SES) drawn from National Health and Nutrition Examination Survey (1999-2000, 2001-2002, 2003-2004, 2005-2006, and 2007-2008) data. PARTICIPANTS/SETTING: Children (aged 2 to 11 years, n=8,627), adolescents (aged 12 to 19 years, n=8,922), young adults (aged 20 to 34 years, n=5,933), and middle-aged and elder adults (aged \u226535 years, n=16,456). STATISTICAL ANALYSES PERFORMED: Age-stratified regression analyses for SSBs overall and by subtypes. RESULTS: The prevalence of heavy total SSB consumption (\u2265500 kcal/day) increased among children (4% to 5%) although it decreased among adolescents (22% to 16%) and young adults (29% to 20%). Soda was the most heavily consumed SSB in all age groups except for children. Prevalence of soda consumption decreased, whereas heavy sports/energy drink consumption tripled (4% to 12%) among adolescents. Black children and adolescents showed higher odds of heavy fruit drink consumption (odds ratios 1.71 and 1.67) than whites. Low-income children had a higher odds of heavy total SSB consumption (odds ratio 1.93) and higher energy intake from total SSBs and fruit drinks (by 23 and 27 kcal/day) than high-income children. Adolescents with low- vs high-educated parents had higher odds of heavy total SSB consumption (odds ratio 1.28) and higher energy intake from total SSBs and soda (by 27 and 21 kcal/day). Low vs high SES was associated with a higher odds of heavy consumption of total SSBs, soda, and fruit drinks among adults. CONCLUSIONS: Prevalence of soda consumption fell, but consumption of nontraditional SSBs rose. Heterogeneity of heavy consumption by SSB types across racial/ethnic subpopulations and higher odds of heavy SSB consumption among low-SES populations should be considered in targeting policies to encourage healthful beverage consumption.", "author" : [ { "dropping-particle" : "", "family" : "Han", "given" : "Euna", "non-dropping-particle" : "", "parse-names" : false, "suffix" : "" }, { "dropping-particle" : "", "family" : "Powell", "given" : "Lisa M", "non-dropping-particle" : "", "parse-names" : false, "suffix" : "" } ], "container-title" : "Journal of the Academy of Nutrition and Dietetics", "id" : "ITEM-1", "issue" : "1", "issued" : { "date-parts" : [ [ "2014" ] ] }, "page" : "43-53", "title" : "Consumption patterns of sugar-sweetened beverages in the United States.", "type" : "article-journal", "volume" : "113" }, "uris" : [ "http://www.mendeley.com/documents/?uuid=e16f36b3-e222-49fa-ba7c-7a1778fa666c" ] }, { "id" : "ITEM-2", "itemData" : { "ISSN" : "0964-7058", "PMID" : "20805074", "abstract" : "The aim of this study was to determine the risk factors of childhood obesity among infants and toddlers from low-income families from three cities in Mexico. This is a cross-sectional study of mothers and their infants and toddlers attending a vaccination centre at three primary care clinics in Tijuana, Tuxtla, and Reynosa. Anthropometric measurements of the mothers and children were conducted at the clinic and a questionnaire was administered to the mother. Eight-hundred and ten mothers and their 5 to 24 months old infants participated in the study. Average age for the mothers was 24 (21-28) years, and 57% of them were either overweight or obese. The children's average age was 12.7 (5-24) months. Overall overweight prevalence in this sample was 11% and obesity 8%, these increased with age, from 3% for overweight and 6 % for obesity before 6 months, to 13 and 10% between 12 to 24 months respectively. Thirty-five percent of infants were breastfed&gt;or=6 month and 92% were introduced to other solid foods before 6 months. Introduction of high-fat content snacks (HFS) and carbonated and non-carbonated sweetened (CSD) drinks starts before 6 months and more than sixty percent of the children between 12 to 24 months of age were eating HFS and CSD sweetened drinks at least once a week. Consumption of snacks and CSD sweetened drinks (&gt;or=1 week) was associated with being overweight and obese (crude), OR, 1.82; 95% CI=1.24-2.65 (p=0.002). These results suggest that preventive programs should be initiated during pregnancy and continued.", "author" : [ { "dropping-particle" : "", "family" : "Jimenez-Cruz", "given" : "Arturo", "non-dropping-particle" : "", "parse-names" : false, "suffix" : "" }, { "dropping-particle" : "", "family" : "Bacardi-Gascon", "given" : "Montserrat", "non-dropping-particle" : "", "parse-names" : false, "suffix" : "" }, { "dropping-particle" : "", "family" : "Pichardo-Osuna", "given" : "Alexandra", "non-dropping-particle" : "", "parse-names" : false, "suffix" : "" }, { "dropping-particle" : "", "family" : "Mandujano-Trujillo", "given" : "Zally", "non-dropping-particle" : "", "parse-names" : false, "suffix" : "" }, { "dropping-particle" : "", "family" : "Castillo-Ruiz", "given" : "Octelina", "non-dropping-particle" : "", "parse-names" : false, "suffix" : "" } ], "container-title" : "Asia Pacific Journal of Clinical Nutrition", "id" : "ITEM-2", "issue" : "3", "issued" : { "date-parts" : [ [ "2010", "1" ] ] }, "page" : "316-23", "title" : "Infant and toddlers' feeding practices and obesity amongst low-income families in Mexico.", "type" : "article-journal", "volume" : "19" }, "uris" : [ "http://www.mendeley.com/documents/?uuid=390c301e-fd6c-4938-9950-ca65e815e904" ] } ], "mendeley" : { "previouslyFormattedCitation" : "(Jimenez-Cruz et al., 2010; Han and Powell, 2014)" }, "properties" : { "noteIndex" : 0 }, "schema" : "https://github.com/citation-style-language/schema/raw/master/csl-citation.json" }</w:instrText>
      </w:r>
      <w:r w:rsidR="00DB401F" w:rsidRPr="005E7AA7">
        <w:rPr>
          <w:rFonts w:ascii="Garamond" w:hAnsi="Garamond"/>
          <w:bCs/>
          <w:sz w:val="22"/>
          <w:szCs w:val="22"/>
          <w:lang w:val="en-US"/>
        </w:rPr>
        <w:fldChar w:fldCharType="separate"/>
      </w:r>
      <w:r w:rsidR="00DB401F" w:rsidRPr="005E7AA7">
        <w:rPr>
          <w:rFonts w:ascii="Garamond" w:hAnsi="Garamond"/>
          <w:bCs/>
          <w:noProof/>
          <w:sz w:val="22"/>
          <w:szCs w:val="22"/>
          <w:lang w:val="en-US"/>
        </w:rPr>
        <w:t>(Jimenez-Cruz et al., 2010; Han and Powell, 2014)</w:t>
      </w:r>
      <w:r w:rsidR="00DB401F" w:rsidRPr="005E7AA7">
        <w:rPr>
          <w:rFonts w:ascii="Garamond" w:hAnsi="Garamond"/>
          <w:bCs/>
          <w:sz w:val="22"/>
          <w:szCs w:val="22"/>
          <w:lang w:val="en-US"/>
        </w:rPr>
        <w:fldChar w:fldCharType="end"/>
      </w:r>
      <w:r w:rsidR="00187F7B" w:rsidRPr="005E7AA7">
        <w:rPr>
          <w:rFonts w:ascii="Garamond" w:hAnsi="Garamond"/>
          <w:bCs/>
          <w:sz w:val="22"/>
          <w:szCs w:val="22"/>
          <w:lang w:val="en-US"/>
        </w:rPr>
        <w:t xml:space="preserve">. Poor families in Mexico, in the United States, in Europe and elsewhere </w:t>
      </w:r>
      <w:r w:rsidR="00B5616F" w:rsidRPr="005E7AA7">
        <w:rPr>
          <w:rFonts w:ascii="Garamond" w:hAnsi="Garamond"/>
          <w:bCs/>
          <w:sz w:val="22"/>
          <w:szCs w:val="22"/>
          <w:lang w:val="en-US"/>
        </w:rPr>
        <w:t xml:space="preserve">may </w:t>
      </w:r>
      <w:r w:rsidR="00187F7B" w:rsidRPr="005E7AA7">
        <w:rPr>
          <w:rFonts w:ascii="Garamond" w:hAnsi="Garamond"/>
          <w:bCs/>
          <w:sz w:val="22"/>
          <w:szCs w:val="22"/>
          <w:lang w:val="en-US"/>
        </w:rPr>
        <w:t>feed their children soft drinks and other high sugar</w:t>
      </w:r>
      <w:r w:rsidRPr="005E7AA7">
        <w:rPr>
          <w:rFonts w:ascii="Garamond" w:hAnsi="Garamond"/>
          <w:bCs/>
          <w:sz w:val="22"/>
          <w:szCs w:val="22"/>
          <w:lang w:val="en-US"/>
        </w:rPr>
        <w:t xml:space="preserve"> </w:t>
      </w:r>
      <w:r w:rsidR="00187F7B" w:rsidRPr="005E7AA7">
        <w:rPr>
          <w:rFonts w:ascii="Garamond" w:hAnsi="Garamond"/>
          <w:bCs/>
          <w:sz w:val="22"/>
          <w:szCs w:val="22"/>
          <w:lang w:val="en-US"/>
        </w:rPr>
        <w:t>snacks b</w:t>
      </w:r>
      <w:r w:rsidRPr="005E7AA7">
        <w:rPr>
          <w:rFonts w:ascii="Garamond" w:hAnsi="Garamond"/>
          <w:bCs/>
          <w:sz w:val="22"/>
          <w:szCs w:val="22"/>
          <w:lang w:val="en-US"/>
        </w:rPr>
        <w:t xml:space="preserve">ecause </w:t>
      </w:r>
      <w:r w:rsidR="00187F7B" w:rsidRPr="005E7AA7">
        <w:rPr>
          <w:rFonts w:ascii="Garamond" w:hAnsi="Garamond"/>
          <w:bCs/>
          <w:sz w:val="22"/>
          <w:szCs w:val="22"/>
          <w:lang w:val="en-US"/>
        </w:rPr>
        <w:t>these</w:t>
      </w:r>
      <w:r w:rsidRPr="005E7AA7">
        <w:rPr>
          <w:rFonts w:ascii="Garamond" w:hAnsi="Garamond"/>
          <w:bCs/>
          <w:sz w:val="22"/>
          <w:szCs w:val="22"/>
          <w:lang w:val="en-US"/>
        </w:rPr>
        <w:t xml:space="preserve"> </w:t>
      </w:r>
      <w:r w:rsidR="00DB401F" w:rsidRPr="005E7AA7">
        <w:rPr>
          <w:rFonts w:ascii="Garamond" w:hAnsi="Garamond"/>
          <w:bCs/>
          <w:sz w:val="22"/>
          <w:szCs w:val="22"/>
          <w:lang w:val="en-US"/>
        </w:rPr>
        <w:t xml:space="preserve">are </w:t>
      </w:r>
      <w:r w:rsidRPr="005E7AA7">
        <w:rPr>
          <w:rFonts w:ascii="Garamond" w:hAnsi="Garamond"/>
          <w:bCs/>
          <w:sz w:val="22"/>
          <w:szCs w:val="22"/>
          <w:lang w:val="en-US"/>
        </w:rPr>
        <w:t xml:space="preserve">cheap, omnipresent, and tasty. </w:t>
      </w:r>
      <w:r w:rsidR="009667BE" w:rsidRPr="005E7AA7">
        <w:rPr>
          <w:rFonts w:ascii="Garamond" w:hAnsi="Garamond"/>
          <w:bCs/>
          <w:sz w:val="22"/>
          <w:szCs w:val="22"/>
          <w:lang w:val="en-US"/>
        </w:rPr>
        <w:t xml:space="preserve"> </w:t>
      </w:r>
    </w:p>
    <w:p w:rsidR="00BF498F" w:rsidRPr="005E7AA7" w:rsidRDefault="00A71A68" w:rsidP="00033477">
      <w:pPr>
        <w:rPr>
          <w:rFonts w:ascii="Garamond" w:hAnsi="Garamond"/>
          <w:bCs/>
          <w:sz w:val="22"/>
          <w:szCs w:val="22"/>
          <w:lang w:val="en-US"/>
        </w:rPr>
      </w:pPr>
      <w:r w:rsidRPr="005E7AA7">
        <w:rPr>
          <w:rFonts w:ascii="Garamond" w:hAnsi="Garamond"/>
          <w:noProof/>
          <w:sz w:val="22"/>
          <w:szCs w:val="22"/>
          <w:lang w:eastAsia="en-GB"/>
        </w:rPr>
        <w:drawing>
          <wp:anchor distT="0" distB="0" distL="114300" distR="114300" simplePos="0" relativeHeight="251659264" behindDoc="0" locked="0" layoutInCell="1" allowOverlap="1" wp14:anchorId="35244ECE" wp14:editId="4CF0095B">
            <wp:simplePos x="0" y="0"/>
            <wp:positionH relativeFrom="column">
              <wp:posOffset>30480</wp:posOffset>
            </wp:positionH>
            <wp:positionV relativeFrom="paragraph">
              <wp:posOffset>526415</wp:posOffset>
            </wp:positionV>
            <wp:extent cx="3803650" cy="2858770"/>
            <wp:effectExtent l="0" t="0" r="6350" b="0"/>
            <wp:wrapSquare wrapText="bothSides"/>
            <wp:docPr id="2051" name="Picture 3" descr="C:\Users\hubab\Desktop\Photos of Maya\Ines Photos\Ines Toma lo bueno cocac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C:\Users\hubab\Desktop\Photos of Maya\Ines Photos\Ines Toma lo bueno cocacol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03650" cy="2858770"/>
                    </a:xfrm>
                    <a:prstGeom prst="rect">
                      <a:avLst/>
                    </a:prstGeom>
                    <a:noFill/>
                    <a:extLst/>
                  </pic:spPr>
                </pic:pic>
              </a:graphicData>
            </a:graphic>
            <wp14:sizeRelH relativeFrom="margin">
              <wp14:pctWidth>0</wp14:pctWidth>
            </wp14:sizeRelH>
            <wp14:sizeRelV relativeFrom="margin">
              <wp14:pctHeight>0</wp14:pctHeight>
            </wp14:sizeRelV>
          </wp:anchor>
        </w:drawing>
      </w:r>
      <w:r w:rsidR="00D918B7" w:rsidRPr="005E7AA7">
        <w:rPr>
          <w:rFonts w:ascii="Garamond" w:hAnsi="Garamond"/>
          <w:bCs/>
          <w:sz w:val="22"/>
          <w:szCs w:val="22"/>
          <w:lang w:val="en-US"/>
        </w:rPr>
        <w:t xml:space="preserve">Globalized corporations provide the large and complex infrastructure to support the pervasive presence of snacks and soft drinks. </w:t>
      </w:r>
      <w:r w:rsidR="00BF498F" w:rsidRPr="005E7AA7">
        <w:rPr>
          <w:rFonts w:ascii="Garamond" w:hAnsi="Garamond"/>
          <w:bCs/>
          <w:sz w:val="22"/>
          <w:szCs w:val="22"/>
          <w:lang w:val="en-US"/>
        </w:rPr>
        <w:t>T</w:t>
      </w:r>
      <w:r w:rsidR="00137145" w:rsidRPr="005E7AA7">
        <w:rPr>
          <w:rFonts w:ascii="Garamond" w:hAnsi="Garamond"/>
          <w:bCs/>
          <w:sz w:val="22"/>
          <w:szCs w:val="22"/>
          <w:lang w:val="en-US"/>
        </w:rPr>
        <w:t xml:space="preserve">he investment </w:t>
      </w:r>
      <w:r w:rsidR="000425F1" w:rsidRPr="005E7AA7">
        <w:rPr>
          <w:rFonts w:ascii="Garamond" w:hAnsi="Garamond"/>
          <w:bCs/>
          <w:sz w:val="22"/>
          <w:szCs w:val="22"/>
          <w:lang w:val="en-US"/>
        </w:rPr>
        <w:t xml:space="preserve">by the beverage giants </w:t>
      </w:r>
      <w:r w:rsidR="00137145" w:rsidRPr="005E7AA7">
        <w:rPr>
          <w:rFonts w:ascii="Garamond" w:hAnsi="Garamond"/>
          <w:bCs/>
          <w:sz w:val="22"/>
          <w:szCs w:val="22"/>
          <w:lang w:val="en-US"/>
        </w:rPr>
        <w:t>seems to be working</w:t>
      </w:r>
      <w:r w:rsidR="00CE1957" w:rsidRPr="005E7AA7">
        <w:rPr>
          <w:rFonts w:ascii="Garamond" w:hAnsi="Garamond"/>
          <w:bCs/>
          <w:sz w:val="22"/>
          <w:szCs w:val="22"/>
          <w:lang w:val="en-US"/>
        </w:rPr>
        <w:t xml:space="preserve"> (Figure 1).</w:t>
      </w:r>
      <w:r w:rsidR="00137145" w:rsidRPr="005E7AA7">
        <w:rPr>
          <w:rFonts w:ascii="Garamond" w:hAnsi="Garamond"/>
          <w:bCs/>
          <w:sz w:val="22"/>
          <w:szCs w:val="22"/>
          <w:lang w:val="en-US"/>
        </w:rPr>
        <w:t xml:space="preserve"> </w:t>
      </w:r>
    </w:p>
    <w:p w:rsidR="00BF498F" w:rsidRPr="005E7AA7" w:rsidRDefault="00A71A68" w:rsidP="00BF498F">
      <w:pPr>
        <w:rPr>
          <w:rFonts w:ascii="Garamond" w:hAnsi="Garamond"/>
          <w:bCs/>
          <w:sz w:val="22"/>
          <w:szCs w:val="22"/>
          <w:lang w:val="en-US"/>
        </w:rPr>
      </w:pPr>
      <w:r w:rsidRPr="005E7AA7">
        <w:rPr>
          <w:rFonts w:ascii="Garamond" w:hAnsi="Garamond"/>
          <w:bCs/>
          <w:noProof/>
          <w:sz w:val="22"/>
          <w:szCs w:val="22"/>
          <w:lang w:eastAsia="en-GB"/>
        </w:rPr>
        <mc:AlternateContent>
          <mc:Choice Requires="wps">
            <w:drawing>
              <wp:anchor distT="0" distB="0" distL="114300" distR="114300" simplePos="0" relativeHeight="251661312" behindDoc="0" locked="0" layoutInCell="1" allowOverlap="1" wp14:anchorId="3464AEFF" wp14:editId="159A3F23">
                <wp:simplePos x="0" y="0"/>
                <wp:positionH relativeFrom="column">
                  <wp:posOffset>-3921760</wp:posOffset>
                </wp:positionH>
                <wp:positionV relativeFrom="paragraph">
                  <wp:posOffset>39370</wp:posOffset>
                </wp:positionV>
                <wp:extent cx="3808095" cy="850265"/>
                <wp:effectExtent l="0" t="0" r="2095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850265"/>
                        </a:xfrm>
                        <a:prstGeom prst="rect">
                          <a:avLst/>
                        </a:prstGeom>
                        <a:solidFill>
                          <a:srgbClr val="FFFFFF"/>
                        </a:solidFill>
                        <a:ln w="9525">
                          <a:solidFill>
                            <a:srgbClr val="000000"/>
                          </a:solidFill>
                          <a:miter lim="800000"/>
                          <a:headEnd/>
                          <a:tailEnd/>
                        </a:ln>
                      </wps:spPr>
                      <wps:txbx>
                        <w:txbxContent>
                          <w:p w:rsidR="00BF498F" w:rsidRPr="00BF498F" w:rsidRDefault="00BF498F" w:rsidP="00BF498F">
                            <w:pPr>
                              <w:rPr>
                                <w:bCs/>
                                <w:sz w:val="18"/>
                                <w:szCs w:val="18"/>
                                <w:lang w:val="en-US"/>
                              </w:rPr>
                            </w:pPr>
                            <w:proofErr w:type="gramStart"/>
                            <w:r w:rsidRPr="00BF498F">
                              <w:rPr>
                                <w:sz w:val="18"/>
                                <w:szCs w:val="18"/>
                              </w:rPr>
                              <w:t>Figure 1.</w:t>
                            </w:r>
                            <w:proofErr w:type="gramEnd"/>
                            <w:r w:rsidRPr="00BF498F">
                              <w:rPr>
                                <w:sz w:val="18"/>
                                <w:szCs w:val="18"/>
                              </w:rPr>
                              <w:t xml:space="preserve"> </w:t>
                            </w:r>
                            <w:proofErr w:type="gramStart"/>
                            <w:r w:rsidRPr="00BF498F">
                              <w:rPr>
                                <w:bCs/>
                                <w:sz w:val="18"/>
                                <w:szCs w:val="18"/>
                                <w:lang w:val="en-US"/>
                              </w:rPr>
                              <w:t>The “coca-colonization” of Yucatan.</w:t>
                            </w:r>
                            <w:proofErr w:type="gramEnd"/>
                            <w:r w:rsidRPr="00BF498F">
                              <w:rPr>
                                <w:bCs/>
                                <w:sz w:val="18"/>
                                <w:szCs w:val="18"/>
                                <w:lang w:val="en-US"/>
                              </w:rPr>
                              <w:t xml:space="preserve">  Sugary soft drinks are replacing traditional beverages in the Yucatan Peninsula.   Even in the most remote rural areas advertisements invite people to try high sugar, high caloric drinks. Photographer: Inês Varela-Silva. Location: </w:t>
                            </w:r>
                            <w:proofErr w:type="spellStart"/>
                            <w:r w:rsidRPr="00BF498F">
                              <w:rPr>
                                <w:bCs/>
                                <w:sz w:val="18"/>
                                <w:szCs w:val="18"/>
                                <w:lang w:val="en-US"/>
                              </w:rPr>
                              <w:t>Celestun</w:t>
                            </w:r>
                            <w:proofErr w:type="spellEnd"/>
                            <w:r w:rsidRPr="00BF498F">
                              <w:rPr>
                                <w:bCs/>
                                <w:sz w:val="18"/>
                                <w:szCs w:val="18"/>
                                <w:lang w:val="en-US"/>
                              </w:rPr>
                              <w:t>, Yucatan, Mexico. Date: 2007</w:t>
                            </w:r>
                            <w:r w:rsidRPr="00BF498F">
                              <w:rPr>
                                <w:bCs/>
                                <w:sz w:val="18"/>
                                <w:szCs w:val="18"/>
                                <w:lang w:val="en-US"/>
                              </w:rPr>
                              <w:br/>
                            </w:r>
                          </w:p>
                          <w:p w:rsidR="00BF498F" w:rsidRDefault="00BF498F" w:rsidP="00BF49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8pt;margin-top:3.1pt;width:299.85pt;height:6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">
                <v:textbox>
                  <w:txbxContent>
                    <w:p w:rsidR="00BF498F" w:rsidRPr="00BF498F" w:rsidRDefault="00BF498F" w:rsidP="00BF498F">
                      <w:pPr>
                        <w:rPr>
                          <w:bCs/>
                          <w:sz w:val="18"/>
                          <w:szCs w:val="18"/>
                          <w:lang w:val="en-US"/>
                        </w:rPr>
                      </w:pPr>
                      <w:proofErr w:type="gramStart"/>
                      <w:r w:rsidRPr="00BF498F">
                        <w:rPr>
                          <w:sz w:val="18"/>
                          <w:szCs w:val="18"/>
                        </w:rPr>
                        <w:t>Figure 1.</w:t>
                      </w:r>
                      <w:proofErr w:type="gramEnd"/>
                      <w:r w:rsidRPr="00BF498F">
                        <w:rPr>
                          <w:sz w:val="18"/>
                          <w:szCs w:val="18"/>
                        </w:rPr>
                        <w:t xml:space="preserve"> </w:t>
                      </w:r>
                      <w:proofErr w:type="gramStart"/>
                      <w:r w:rsidRPr="00BF498F">
                        <w:rPr>
                          <w:bCs/>
                          <w:sz w:val="18"/>
                          <w:szCs w:val="18"/>
                          <w:lang w:val="en-US"/>
                        </w:rPr>
                        <w:t>The “coca-colonization” of Yucatan.</w:t>
                      </w:r>
                      <w:proofErr w:type="gramEnd"/>
                      <w:r w:rsidRPr="00BF498F">
                        <w:rPr>
                          <w:bCs/>
                          <w:sz w:val="18"/>
                          <w:szCs w:val="18"/>
                          <w:lang w:val="en-US"/>
                        </w:rPr>
                        <w:t xml:space="preserve">  Sugary soft drinks are replacing traditional beverages in the Yucatan Peninsula.   Even in the most remote rural areas advertisements invite people to try high sugar, high caloric drinks. Photographer: Inês Varela-Silva. Location: </w:t>
                      </w:r>
                      <w:proofErr w:type="spellStart"/>
                      <w:r w:rsidRPr="00BF498F">
                        <w:rPr>
                          <w:bCs/>
                          <w:sz w:val="18"/>
                          <w:szCs w:val="18"/>
                          <w:lang w:val="en-US"/>
                        </w:rPr>
                        <w:t>Celestun</w:t>
                      </w:r>
                      <w:proofErr w:type="spellEnd"/>
                      <w:r w:rsidRPr="00BF498F">
                        <w:rPr>
                          <w:bCs/>
                          <w:sz w:val="18"/>
                          <w:szCs w:val="18"/>
                          <w:lang w:val="en-US"/>
                        </w:rPr>
                        <w:t>, Yucatan, Mexico. Date: 2007</w:t>
                      </w:r>
                      <w:r w:rsidRPr="00BF498F">
                        <w:rPr>
                          <w:bCs/>
                          <w:sz w:val="18"/>
                          <w:szCs w:val="18"/>
                          <w:lang w:val="en-US"/>
                        </w:rPr>
                        <w:br/>
                      </w:r>
                    </w:p>
                    <w:p w:rsidR="00BF498F" w:rsidRDefault="00BF498F" w:rsidP="00BF498F"/>
                  </w:txbxContent>
                </v:textbox>
              </v:shape>
            </w:pict>
          </mc:Fallback>
        </mc:AlternateContent>
      </w:r>
    </w:p>
    <w:p w:rsidR="00BF498F" w:rsidRPr="005E7AA7" w:rsidRDefault="00BF498F" w:rsidP="00BF498F">
      <w:pPr>
        <w:rPr>
          <w:rFonts w:ascii="Garamond" w:hAnsi="Garamond"/>
          <w:bCs/>
          <w:sz w:val="22"/>
          <w:szCs w:val="22"/>
          <w:lang w:val="en-US"/>
        </w:rPr>
      </w:pPr>
      <w:bookmarkStart w:id="0" w:name="_GoBack"/>
      <w:bookmarkEnd w:id="0"/>
    </w:p>
    <w:p w:rsidR="00FA7E76" w:rsidRPr="005E7AA7" w:rsidRDefault="00FA7E76" w:rsidP="00BF498F">
      <w:pPr>
        <w:rPr>
          <w:rFonts w:ascii="Garamond" w:hAnsi="Garamond"/>
          <w:bCs/>
          <w:sz w:val="22"/>
          <w:szCs w:val="22"/>
          <w:lang w:val="en-US"/>
        </w:rPr>
      </w:pPr>
    </w:p>
    <w:p w:rsidR="005E7AA7" w:rsidRDefault="005E7AA7" w:rsidP="00033477">
      <w:pPr>
        <w:ind w:firstLine="720"/>
        <w:rPr>
          <w:rFonts w:ascii="Garamond" w:hAnsi="Garamond"/>
          <w:bCs/>
          <w:sz w:val="22"/>
          <w:szCs w:val="22"/>
          <w:lang w:val="en-US"/>
        </w:rPr>
      </w:pPr>
    </w:p>
    <w:p w:rsidR="005E7AA7" w:rsidRDefault="005E7AA7" w:rsidP="00033477">
      <w:pPr>
        <w:ind w:firstLine="720"/>
        <w:rPr>
          <w:rFonts w:ascii="Garamond" w:hAnsi="Garamond"/>
          <w:bCs/>
          <w:sz w:val="22"/>
          <w:szCs w:val="22"/>
          <w:lang w:val="en-US"/>
        </w:rPr>
      </w:pPr>
    </w:p>
    <w:p w:rsidR="005E7AA7" w:rsidRDefault="005E7AA7" w:rsidP="00033477">
      <w:pPr>
        <w:ind w:firstLine="720"/>
        <w:rPr>
          <w:rFonts w:ascii="Garamond" w:hAnsi="Garamond"/>
          <w:bCs/>
          <w:sz w:val="22"/>
          <w:szCs w:val="22"/>
          <w:lang w:val="en-US"/>
        </w:rPr>
      </w:pPr>
    </w:p>
    <w:p w:rsidR="00A71A68" w:rsidRDefault="00A71A68" w:rsidP="00033477">
      <w:pPr>
        <w:ind w:firstLine="720"/>
        <w:rPr>
          <w:rFonts w:ascii="Garamond" w:hAnsi="Garamond"/>
          <w:bCs/>
          <w:sz w:val="22"/>
          <w:szCs w:val="22"/>
          <w:lang w:val="en-US"/>
        </w:rPr>
      </w:pPr>
    </w:p>
    <w:p w:rsidR="00A71A68" w:rsidRDefault="00A71A68" w:rsidP="00033477">
      <w:pPr>
        <w:ind w:firstLine="720"/>
        <w:rPr>
          <w:rFonts w:ascii="Garamond" w:hAnsi="Garamond"/>
          <w:bCs/>
          <w:sz w:val="22"/>
          <w:szCs w:val="22"/>
          <w:lang w:val="en-US"/>
        </w:rPr>
      </w:pPr>
    </w:p>
    <w:p w:rsidR="00A71A68" w:rsidRDefault="00A71A68" w:rsidP="00033477">
      <w:pPr>
        <w:ind w:firstLine="720"/>
        <w:rPr>
          <w:rFonts w:ascii="Garamond" w:hAnsi="Garamond"/>
          <w:bCs/>
          <w:sz w:val="22"/>
          <w:szCs w:val="22"/>
          <w:lang w:val="en-US"/>
        </w:rPr>
      </w:pPr>
    </w:p>
    <w:p w:rsidR="00A71A68" w:rsidRDefault="00A71A68" w:rsidP="00033477">
      <w:pPr>
        <w:ind w:firstLine="720"/>
        <w:rPr>
          <w:rFonts w:ascii="Garamond" w:hAnsi="Garamond"/>
          <w:bCs/>
          <w:sz w:val="22"/>
          <w:szCs w:val="22"/>
          <w:lang w:val="en-US"/>
        </w:rPr>
      </w:pPr>
    </w:p>
    <w:p w:rsidR="00A71A68" w:rsidRDefault="00137145" w:rsidP="00A71A68">
      <w:pPr>
        <w:ind w:firstLine="720"/>
        <w:rPr>
          <w:rFonts w:ascii="Garamond" w:hAnsi="Garamond"/>
          <w:bCs/>
          <w:sz w:val="22"/>
          <w:szCs w:val="22"/>
          <w:lang w:val="en-US"/>
        </w:rPr>
      </w:pPr>
      <w:r w:rsidRPr="005E7AA7">
        <w:rPr>
          <w:rFonts w:ascii="Garamond" w:hAnsi="Garamond"/>
          <w:bCs/>
          <w:sz w:val="22"/>
          <w:szCs w:val="22"/>
          <w:lang w:val="en-US"/>
        </w:rPr>
        <w:t xml:space="preserve">Leatherman and Goodman (2005) found that in the Yucatan village of </w:t>
      </w:r>
      <w:proofErr w:type="spellStart"/>
      <w:r w:rsidRPr="005E7AA7">
        <w:rPr>
          <w:rFonts w:ascii="Garamond" w:hAnsi="Garamond"/>
          <w:bCs/>
          <w:sz w:val="22"/>
          <w:szCs w:val="22"/>
          <w:lang w:val="en-US"/>
        </w:rPr>
        <w:t>Yalcoba</w:t>
      </w:r>
      <w:proofErr w:type="spellEnd"/>
      <w:r w:rsidRPr="005E7AA7">
        <w:rPr>
          <w:rFonts w:ascii="Garamond" w:hAnsi="Garamond"/>
          <w:bCs/>
          <w:sz w:val="22"/>
          <w:szCs w:val="22"/>
          <w:lang w:val="en-US"/>
        </w:rPr>
        <w:t xml:space="preserve">, with about 1500 inhabitants, there are at least 40 ‘sales points’ (small stores called </w:t>
      </w:r>
      <w:proofErr w:type="spellStart"/>
      <w:r w:rsidRPr="005E7AA7">
        <w:rPr>
          <w:rFonts w:ascii="Garamond" w:hAnsi="Garamond"/>
          <w:bCs/>
          <w:i/>
          <w:iCs/>
          <w:sz w:val="22"/>
          <w:szCs w:val="22"/>
          <w:lang w:val="en-US"/>
        </w:rPr>
        <w:t>tiendas</w:t>
      </w:r>
      <w:proofErr w:type="spellEnd"/>
      <w:r w:rsidRPr="005E7AA7">
        <w:rPr>
          <w:rFonts w:ascii="Garamond" w:hAnsi="Garamond"/>
          <w:bCs/>
          <w:sz w:val="22"/>
          <w:szCs w:val="22"/>
          <w:lang w:val="en-US"/>
        </w:rPr>
        <w:t>) for Coca-Cola, Pepsi</w:t>
      </w:r>
      <w:r w:rsidR="00D52BC6" w:rsidRPr="005E7AA7">
        <w:rPr>
          <w:rFonts w:ascii="Garamond" w:hAnsi="Garamond"/>
          <w:bCs/>
          <w:sz w:val="22"/>
          <w:szCs w:val="22"/>
          <w:lang w:val="en-US"/>
        </w:rPr>
        <w:t>-Cola,</w:t>
      </w:r>
      <w:r w:rsidRPr="005E7AA7">
        <w:rPr>
          <w:rFonts w:ascii="Garamond" w:hAnsi="Garamond"/>
          <w:bCs/>
          <w:sz w:val="22"/>
          <w:szCs w:val="22"/>
          <w:lang w:val="en-US"/>
        </w:rPr>
        <w:t xml:space="preserve"> and other sugary soft drinks. </w:t>
      </w:r>
      <w:r w:rsidR="004379E8" w:rsidRPr="005E7AA7">
        <w:rPr>
          <w:rFonts w:ascii="Garamond" w:hAnsi="Garamond"/>
          <w:bCs/>
          <w:sz w:val="22"/>
          <w:szCs w:val="22"/>
          <w:lang w:val="en-US"/>
        </w:rPr>
        <w:t xml:space="preserve">In their survey of 75 school-aged children in </w:t>
      </w:r>
      <w:proofErr w:type="spellStart"/>
      <w:r w:rsidR="004379E8" w:rsidRPr="005E7AA7">
        <w:rPr>
          <w:rFonts w:ascii="Garamond" w:hAnsi="Garamond"/>
          <w:bCs/>
          <w:sz w:val="22"/>
          <w:szCs w:val="22"/>
          <w:lang w:val="en-US"/>
        </w:rPr>
        <w:t>Yalcoba</w:t>
      </w:r>
      <w:proofErr w:type="spellEnd"/>
      <w:r w:rsidR="0058762D" w:rsidRPr="005E7AA7">
        <w:rPr>
          <w:rFonts w:ascii="Garamond" w:hAnsi="Garamond"/>
          <w:bCs/>
          <w:sz w:val="22"/>
          <w:szCs w:val="22"/>
          <w:lang w:val="en-US"/>
        </w:rPr>
        <w:t>,</w:t>
      </w:r>
      <w:r w:rsidR="004379E8" w:rsidRPr="005E7AA7">
        <w:rPr>
          <w:rFonts w:ascii="Garamond" w:hAnsi="Garamond"/>
          <w:bCs/>
          <w:sz w:val="22"/>
          <w:szCs w:val="22"/>
          <w:lang w:val="en-US"/>
        </w:rPr>
        <w:t xml:space="preserve"> Leatherman and Goodman found that reported daily intakes of junk food included about 360 ml (~12 oz.) of soft drinks (mostly Coke or Pepsi), 1.5 packages of chips, cookies, or other snack foods, and about two small candies. The maximum daily intake of junk food reported w</w:t>
      </w:r>
      <w:r w:rsidR="00CE1957" w:rsidRPr="005E7AA7">
        <w:rPr>
          <w:rFonts w:ascii="Garamond" w:hAnsi="Garamond"/>
          <w:bCs/>
          <w:sz w:val="22"/>
          <w:szCs w:val="22"/>
          <w:lang w:val="en-US"/>
        </w:rPr>
        <w:t>as</w:t>
      </w:r>
      <w:r w:rsidR="004379E8" w:rsidRPr="005E7AA7">
        <w:rPr>
          <w:rFonts w:ascii="Garamond" w:hAnsi="Garamond"/>
          <w:bCs/>
          <w:sz w:val="22"/>
          <w:szCs w:val="22"/>
          <w:lang w:val="en-US"/>
        </w:rPr>
        <w:t xml:space="preserve"> </w:t>
      </w:r>
      <w:r w:rsidR="00CE1957" w:rsidRPr="005E7AA7">
        <w:rPr>
          <w:rFonts w:ascii="Garamond" w:hAnsi="Garamond"/>
          <w:bCs/>
          <w:sz w:val="22"/>
          <w:szCs w:val="22"/>
          <w:lang w:val="en-US"/>
        </w:rPr>
        <w:t xml:space="preserve">about 1.8 liters of </w:t>
      </w:r>
      <w:r w:rsidR="004379E8" w:rsidRPr="005E7AA7">
        <w:rPr>
          <w:rFonts w:ascii="Garamond" w:hAnsi="Garamond"/>
          <w:bCs/>
          <w:sz w:val="22"/>
          <w:szCs w:val="22"/>
          <w:lang w:val="en-US"/>
        </w:rPr>
        <w:t xml:space="preserve">soda, seven </w:t>
      </w:r>
      <w:r w:rsidR="00CE1957" w:rsidRPr="005E7AA7">
        <w:rPr>
          <w:rFonts w:ascii="Garamond" w:hAnsi="Garamond"/>
          <w:bCs/>
          <w:sz w:val="22"/>
          <w:szCs w:val="22"/>
          <w:lang w:val="en-US"/>
        </w:rPr>
        <w:t xml:space="preserve">packages of </w:t>
      </w:r>
      <w:r w:rsidR="004379E8" w:rsidRPr="005E7AA7">
        <w:rPr>
          <w:rFonts w:ascii="Garamond" w:hAnsi="Garamond"/>
          <w:bCs/>
          <w:sz w:val="22"/>
          <w:szCs w:val="22"/>
          <w:lang w:val="en-US"/>
        </w:rPr>
        <w:t>snack foods, and six candies (ibid).</w:t>
      </w:r>
      <w:r w:rsidRPr="005E7AA7">
        <w:rPr>
          <w:rFonts w:ascii="Garamond" w:hAnsi="Garamond"/>
          <w:bCs/>
          <w:sz w:val="22"/>
          <w:szCs w:val="22"/>
          <w:lang w:val="en-US"/>
        </w:rPr>
        <w:t xml:space="preserve"> </w:t>
      </w:r>
    </w:p>
    <w:p w:rsidR="008E6D83" w:rsidRPr="005E7AA7" w:rsidRDefault="005E6B1D" w:rsidP="00A71A68">
      <w:pPr>
        <w:rPr>
          <w:rFonts w:ascii="Garamond" w:hAnsi="Garamond"/>
          <w:bCs/>
          <w:sz w:val="22"/>
          <w:szCs w:val="22"/>
          <w:lang w:val="en-US"/>
        </w:rPr>
      </w:pPr>
      <w:r w:rsidRPr="005E7AA7">
        <w:rPr>
          <w:rFonts w:ascii="Garamond" w:hAnsi="Garamond"/>
          <w:bCs/>
          <w:sz w:val="22"/>
          <w:szCs w:val="22"/>
          <w:lang w:val="en-US"/>
        </w:rPr>
        <w:lastRenderedPageBreak/>
        <w:t xml:space="preserve">The Maya of </w:t>
      </w:r>
      <w:r w:rsidR="00AF6912" w:rsidRPr="005E7AA7">
        <w:rPr>
          <w:rFonts w:ascii="Garamond" w:hAnsi="Garamond"/>
          <w:bCs/>
          <w:sz w:val="22"/>
          <w:szCs w:val="22"/>
          <w:lang w:val="en-US"/>
        </w:rPr>
        <w:t>Yucatan</w:t>
      </w:r>
    </w:p>
    <w:p w:rsidR="00D52BC6" w:rsidRPr="005E7AA7" w:rsidRDefault="0058762D" w:rsidP="005E7AA7">
      <w:pPr>
        <w:rPr>
          <w:rFonts w:ascii="Garamond" w:hAnsi="Garamond"/>
          <w:bCs/>
          <w:sz w:val="22"/>
          <w:szCs w:val="22"/>
          <w:lang w:val="en-US"/>
        </w:rPr>
      </w:pPr>
      <w:r w:rsidRPr="005E7AA7">
        <w:rPr>
          <w:rFonts w:ascii="Garamond" w:hAnsi="Garamond"/>
          <w:bCs/>
          <w:sz w:val="22"/>
          <w:szCs w:val="22"/>
          <w:lang w:val="en-US"/>
        </w:rPr>
        <w:t xml:space="preserve">The Yucatan </w:t>
      </w:r>
      <w:r w:rsidR="00112D13" w:rsidRPr="005E7AA7">
        <w:rPr>
          <w:rFonts w:ascii="Garamond" w:hAnsi="Garamond"/>
          <w:bCs/>
          <w:sz w:val="22"/>
          <w:szCs w:val="22"/>
          <w:lang w:val="en-US"/>
        </w:rPr>
        <w:t xml:space="preserve">Peninsula </w:t>
      </w:r>
      <w:r w:rsidRPr="005E7AA7">
        <w:rPr>
          <w:rFonts w:ascii="Garamond" w:hAnsi="Garamond"/>
          <w:bCs/>
          <w:sz w:val="22"/>
          <w:szCs w:val="22"/>
          <w:lang w:val="en-US"/>
        </w:rPr>
        <w:t xml:space="preserve">is historically a center of the Maya culture. </w:t>
      </w:r>
      <w:r w:rsidR="00B856A5" w:rsidRPr="005E7AA7">
        <w:rPr>
          <w:rFonts w:ascii="Garamond" w:hAnsi="Garamond"/>
          <w:bCs/>
          <w:sz w:val="22"/>
          <w:szCs w:val="22"/>
          <w:lang w:val="en-US"/>
        </w:rPr>
        <w:t>There are an estimated 7-8 million Maya living in Guatemala, the Yucatan Peninsula of southern Mexico, Belize, El Salvador, and western Honduras</w:t>
      </w:r>
      <w:r w:rsidR="000F410E" w:rsidRPr="005E7AA7">
        <w:rPr>
          <w:rFonts w:ascii="Garamond" w:hAnsi="Garamond"/>
          <w:bCs/>
          <w:sz w:val="22"/>
          <w:szCs w:val="22"/>
          <w:lang w:val="en-US"/>
        </w:rPr>
        <w:t xml:space="preserve"> </w:t>
      </w:r>
      <w:r w:rsidR="000F410E"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"author" : [ { "dropping-particle" : "", "family" : "Lovell", "given" : "William G", "non-dropping-particle" : "", "parse-names" : false, "suffix" : "" } ], "edition" : "2nd editio", "id" : "ITEM-1", "issued" : { "date-parts" : [ [ "2010" ] ] }, "publisher" : "University of Texas Press", "publisher-place" : "Austin", "title" : "A Beauty That Hurts: Life and Death in Guatemala", "type" : "book" }, "uris" : [ "http://www.mendeley.com/documents/?uuid=0544f1e5-3ad9-4301-8e0d-d40ad73a3707" ] } ], "mendeley" : { "previouslyFormattedCitation" : "(Lovell, 2010)" }, "properties" : { "noteIndex" : 0 }, "schema" : "https://github.com/citation-style-language/schema/raw/master/csl-citation.json" }</w:instrText>
      </w:r>
      <w:r w:rsidR="000F410E" w:rsidRPr="005E7AA7">
        <w:rPr>
          <w:rFonts w:ascii="Garamond" w:hAnsi="Garamond"/>
          <w:bCs/>
          <w:sz w:val="22"/>
          <w:szCs w:val="22"/>
          <w:lang w:val="en-US"/>
        </w:rPr>
        <w:fldChar w:fldCharType="separate"/>
      </w:r>
      <w:r w:rsidR="00834114" w:rsidRPr="005E7AA7">
        <w:rPr>
          <w:rFonts w:ascii="Garamond" w:hAnsi="Garamond"/>
          <w:bCs/>
          <w:noProof/>
          <w:sz w:val="22"/>
          <w:szCs w:val="22"/>
          <w:lang w:val="en-US"/>
        </w:rPr>
        <w:t>(Lovell, 2010)</w:t>
      </w:r>
      <w:r w:rsidR="000F410E" w:rsidRPr="005E7AA7">
        <w:rPr>
          <w:rFonts w:ascii="Garamond" w:hAnsi="Garamond"/>
          <w:bCs/>
          <w:sz w:val="22"/>
          <w:szCs w:val="22"/>
          <w:lang w:val="en-US"/>
        </w:rPr>
        <w:fldChar w:fldCharType="end"/>
      </w:r>
      <w:r w:rsidR="00B856A5" w:rsidRPr="005E7AA7">
        <w:rPr>
          <w:rFonts w:ascii="Garamond" w:hAnsi="Garamond"/>
          <w:bCs/>
          <w:sz w:val="22"/>
          <w:szCs w:val="22"/>
          <w:lang w:val="en-US"/>
        </w:rPr>
        <w:t>. This makes the Maya the largest Native American ethnic</w:t>
      </w:r>
      <w:r w:rsidR="000F410E" w:rsidRPr="005E7AA7">
        <w:rPr>
          <w:rFonts w:ascii="Garamond" w:hAnsi="Garamond"/>
          <w:bCs/>
          <w:sz w:val="22"/>
          <w:szCs w:val="22"/>
          <w:lang w:val="en-US"/>
        </w:rPr>
        <w:t xml:space="preserve"> </w:t>
      </w:r>
      <w:r w:rsidR="00B856A5" w:rsidRPr="005E7AA7">
        <w:rPr>
          <w:rFonts w:ascii="Garamond" w:hAnsi="Garamond"/>
          <w:bCs/>
          <w:sz w:val="22"/>
          <w:szCs w:val="22"/>
          <w:lang w:val="en-US"/>
        </w:rPr>
        <w:t>group.</w:t>
      </w:r>
      <w:r w:rsidR="000F410E" w:rsidRPr="005E7AA7">
        <w:rPr>
          <w:rFonts w:ascii="Garamond" w:hAnsi="Garamond"/>
          <w:bCs/>
          <w:sz w:val="22"/>
          <w:szCs w:val="22"/>
          <w:lang w:val="en-US"/>
        </w:rPr>
        <w:t xml:space="preserve"> </w:t>
      </w:r>
      <w:r w:rsidR="00B856A5" w:rsidRPr="005E7AA7">
        <w:rPr>
          <w:rFonts w:ascii="Garamond" w:hAnsi="Garamond"/>
          <w:bCs/>
          <w:sz w:val="22"/>
          <w:szCs w:val="22"/>
          <w:lang w:val="en-US"/>
        </w:rPr>
        <w:t>Common features of rural lifestyle, economic activities,</w:t>
      </w:r>
      <w:r w:rsidR="000F410E" w:rsidRPr="005E7AA7">
        <w:rPr>
          <w:rFonts w:ascii="Garamond" w:hAnsi="Garamond"/>
          <w:bCs/>
          <w:sz w:val="22"/>
          <w:szCs w:val="22"/>
          <w:lang w:val="en-US"/>
        </w:rPr>
        <w:t xml:space="preserve"> </w:t>
      </w:r>
      <w:r w:rsidR="00B856A5" w:rsidRPr="005E7AA7">
        <w:rPr>
          <w:rFonts w:ascii="Garamond" w:hAnsi="Garamond"/>
          <w:bCs/>
          <w:sz w:val="22"/>
          <w:szCs w:val="22"/>
          <w:lang w:val="en-US"/>
        </w:rPr>
        <w:t>kinship and marriage systems, religion, philosophy,</w:t>
      </w:r>
      <w:r w:rsidR="000F410E" w:rsidRPr="005E7AA7">
        <w:rPr>
          <w:rFonts w:ascii="Garamond" w:hAnsi="Garamond"/>
          <w:bCs/>
          <w:sz w:val="22"/>
          <w:szCs w:val="22"/>
          <w:lang w:val="en-US"/>
        </w:rPr>
        <w:t xml:space="preserve"> </w:t>
      </w:r>
      <w:r w:rsidR="00B856A5" w:rsidRPr="005E7AA7">
        <w:rPr>
          <w:rFonts w:ascii="Garamond" w:hAnsi="Garamond"/>
          <w:bCs/>
          <w:sz w:val="22"/>
          <w:szCs w:val="22"/>
          <w:lang w:val="en-US"/>
        </w:rPr>
        <w:t xml:space="preserve">and a brutal history </w:t>
      </w:r>
      <w:r w:rsidR="00D52BC6" w:rsidRPr="005E7AA7">
        <w:rPr>
          <w:rFonts w:ascii="Garamond" w:hAnsi="Garamond"/>
          <w:bCs/>
          <w:sz w:val="22"/>
          <w:szCs w:val="22"/>
          <w:lang w:val="en-US"/>
        </w:rPr>
        <w:t xml:space="preserve">of repression </w:t>
      </w:r>
      <w:r w:rsidR="00B856A5" w:rsidRPr="005E7AA7">
        <w:rPr>
          <w:rFonts w:ascii="Garamond" w:hAnsi="Garamond"/>
          <w:bCs/>
          <w:sz w:val="22"/>
          <w:szCs w:val="22"/>
          <w:lang w:val="en-US"/>
        </w:rPr>
        <w:t>since the Conquest of the Americas</w:t>
      </w:r>
      <w:r w:rsidR="000F410E" w:rsidRPr="005E7AA7">
        <w:rPr>
          <w:rFonts w:ascii="Garamond" w:hAnsi="Garamond"/>
          <w:bCs/>
          <w:sz w:val="22"/>
          <w:szCs w:val="22"/>
          <w:lang w:val="en-US"/>
        </w:rPr>
        <w:t xml:space="preserve"> </w:t>
      </w:r>
      <w:r w:rsidR="00B856A5" w:rsidRPr="005E7AA7">
        <w:rPr>
          <w:rFonts w:ascii="Garamond" w:hAnsi="Garamond"/>
          <w:bCs/>
          <w:sz w:val="22"/>
          <w:szCs w:val="22"/>
          <w:lang w:val="en-US"/>
        </w:rPr>
        <w:t>binds all Maya together into a shared cultural identity.</w:t>
      </w:r>
      <w:r w:rsidR="00D52BC6" w:rsidRPr="005E7AA7">
        <w:rPr>
          <w:rFonts w:ascii="Garamond" w:hAnsi="Garamond"/>
          <w:bCs/>
          <w:sz w:val="22"/>
          <w:szCs w:val="22"/>
          <w:lang w:val="en-US"/>
        </w:rPr>
        <w:t xml:space="preserve"> </w:t>
      </w:r>
      <w:r w:rsidR="00B856A5" w:rsidRPr="005E7AA7">
        <w:rPr>
          <w:rFonts w:ascii="Garamond" w:hAnsi="Garamond"/>
          <w:bCs/>
          <w:sz w:val="22"/>
          <w:szCs w:val="22"/>
          <w:lang w:val="en-US"/>
        </w:rPr>
        <w:t>There are, however, 22 or so Maya languages, each associated</w:t>
      </w:r>
      <w:r w:rsidR="000F410E" w:rsidRPr="005E7AA7">
        <w:rPr>
          <w:rFonts w:ascii="Garamond" w:hAnsi="Garamond"/>
          <w:bCs/>
          <w:sz w:val="22"/>
          <w:szCs w:val="22"/>
          <w:lang w:val="en-US"/>
        </w:rPr>
        <w:t xml:space="preserve"> </w:t>
      </w:r>
      <w:r w:rsidR="00B856A5" w:rsidRPr="005E7AA7">
        <w:rPr>
          <w:rFonts w:ascii="Garamond" w:hAnsi="Garamond"/>
          <w:bCs/>
          <w:sz w:val="22"/>
          <w:szCs w:val="22"/>
          <w:lang w:val="en-US"/>
        </w:rPr>
        <w:t>with a specific Maya group</w:t>
      </w:r>
      <w:r w:rsidR="00D52BC6" w:rsidRPr="005E7AA7">
        <w:rPr>
          <w:rFonts w:ascii="Garamond" w:hAnsi="Garamond"/>
          <w:bCs/>
          <w:sz w:val="22"/>
          <w:szCs w:val="22"/>
          <w:lang w:val="en-US"/>
        </w:rPr>
        <w:t>,</w:t>
      </w:r>
      <w:r w:rsidR="00B856A5" w:rsidRPr="005E7AA7">
        <w:rPr>
          <w:rFonts w:ascii="Garamond" w:hAnsi="Garamond"/>
          <w:bCs/>
          <w:sz w:val="22"/>
          <w:szCs w:val="22"/>
          <w:lang w:val="en-US"/>
        </w:rPr>
        <w:t xml:space="preserve"> such as the Yucatec Maya</w:t>
      </w:r>
      <w:r w:rsidR="000F410E" w:rsidRPr="005E7AA7">
        <w:rPr>
          <w:rFonts w:ascii="Garamond" w:hAnsi="Garamond"/>
          <w:bCs/>
          <w:sz w:val="22"/>
          <w:szCs w:val="22"/>
          <w:lang w:val="en-US"/>
        </w:rPr>
        <w:t xml:space="preserve"> </w:t>
      </w:r>
      <w:r w:rsidR="00B856A5" w:rsidRPr="005E7AA7">
        <w:rPr>
          <w:rFonts w:ascii="Garamond" w:hAnsi="Garamond"/>
          <w:bCs/>
          <w:sz w:val="22"/>
          <w:szCs w:val="22"/>
          <w:lang w:val="en-US"/>
        </w:rPr>
        <w:t>of southern Mexico</w:t>
      </w:r>
      <w:r w:rsidR="000F410E" w:rsidRPr="005E7AA7">
        <w:rPr>
          <w:rFonts w:ascii="Garamond" w:hAnsi="Garamond"/>
          <w:bCs/>
          <w:sz w:val="22"/>
          <w:szCs w:val="22"/>
          <w:lang w:val="en-US"/>
        </w:rPr>
        <w:t xml:space="preserve">. </w:t>
      </w:r>
    </w:p>
    <w:p w:rsidR="00444A7E" w:rsidRPr="005E7AA7" w:rsidRDefault="00B856A5" w:rsidP="005E7AA7">
      <w:pPr>
        <w:rPr>
          <w:rFonts w:ascii="Garamond" w:hAnsi="Garamond"/>
          <w:bCs/>
          <w:sz w:val="22"/>
          <w:szCs w:val="22"/>
          <w:lang w:val="en-US"/>
        </w:rPr>
      </w:pPr>
      <w:r w:rsidRPr="005E7AA7">
        <w:rPr>
          <w:rFonts w:ascii="Garamond" w:hAnsi="Garamond"/>
          <w:bCs/>
          <w:sz w:val="22"/>
          <w:szCs w:val="22"/>
          <w:lang w:val="en-US"/>
        </w:rPr>
        <w:t>The living Maya are the biological</w:t>
      </w:r>
      <w:r w:rsidR="000F410E" w:rsidRPr="005E7AA7">
        <w:rPr>
          <w:rFonts w:ascii="Garamond" w:hAnsi="Garamond"/>
          <w:bCs/>
          <w:sz w:val="22"/>
          <w:szCs w:val="22"/>
          <w:lang w:val="en-US"/>
        </w:rPr>
        <w:t xml:space="preserve"> </w:t>
      </w:r>
      <w:r w:rsidRPr="005E7AA7">
        <w:rPr>
          <w:rFonts w:ascii="Garamond" w:hAnsi="Garamond"/>
          <w:bCs/>
          <w:sz w:val="22"/>
          <w:szCs w:val="22"/>
          <w:lang w:val="en-US"/>
        </w:rPr>
        <w:t>and cultural descendants of the people inhabiting</w:t>
      </w:r>
      <w:r w:rsidR="000F410E" w:rsidRPr="005E7AA7">
        <w:rPr>
          <w:rFonts w:ascii="Garamond" w:hAnsi="Garamond"/>
          <w:bCs/>
          <w:sz w:val="22"/>
          <w:szCs w:val="22"/>
          <w:lang w:val="en-US"/>
        </w:rPr>
        <w:t xml:space="preserve"> </w:t>
      </w:r>
      <w:r w:rsidRPr="005E7AA7">
        <w:rPr>
          <w:rFonts w:ascii="Garamond" w:hAnsi="Garamond"/>
          <w:bCs/>
          <w:sz w:val="22"/>
          <w:szCs w:val="22"/>
          <w:lang w:val="en-US"/>
        </w:rPr>
        <w:t>the same culture area prior to European contact in the year</w:t>
      </w:r>
      <w:r w:rsidR="000F410E" w:rsidRPr="005E7AA7">
        <w:rPr>
          <w:rFonts w:ascii="Garamond" w:hAnsi="Garamond"/>
          <w:bCs/>
          <w:sz w:val="22"/>
          <w:szCs w:val="22"/>
          <w:lang w:val="en-US"/>
        </w:rPr>
        <w:t xml:space="preserve"> </w:t>
      </w:r>
      <w:r w:rsidRPr="005E7AA7">
        <w:rPr>
          <w:rFonts w:ascii="Garamond" w:hAnsi="Garamond"/>
          <w:bCs/>
          <w:sz w:val="22"/>
          <w:szCs w:val="22"/>
          <w:lang w:val="en-US"/>
        </w:rPr>
        <w:t xml:space="preserve">1500 </w:t>
      </w:r>
      <w:r w:rsidR="000F410E" w:rsidRPr="005E7AA7">
        <w:rPr>
          <w:rFonts w:ascii="Garamond" w:hAnsi="Garamond"/>
          <w:bCs/>
          <w:sz w:val="22"/>
          <w:szCs w:val="22"/>
          <w:lang w:val="en-US"/>
        </w:rPr>
        <w:t>AD</w:t>
      </w:r>
      <w:r w:rsidRPr="005E7AA7">
        <w:rPr>
          <w:rFonts w:ascii="Garamond" w:hAnsi="Garamond"/>
          <w:bCs/>
          <w:sz w:val="22"/>
          <w:szCs w:val="22"/>
          <w:lang w:val="en-US"/>
        </w:rPr>
        <w:t>. Archaeology of the region indicates that hunter</w:t>
      </w:r>
      <w:r w:rsidR="000F410E" w:rsidRPr="005E7AA7">
        <w:rPr>
          <w:rFonts w:ascii="Garamond" w:hAnsi="Garamond"/>
          <w:bCs/>
          <w:sz w:val="22"/>
          <w:szCs w:val="22"/>
          <w:lang w:val="en-US"/>
        </w:rPr>
        <w:t>-</w:t>
      </w:r>
      <w:r w:rsidRPr="005E7AA7">
        <w:rPr>
          <w:rFonts w:ascii="Garamond" w:hAnsi="Garamond"/>
          <w:bCs/>
          <w:sz w:val="22"/>
          <w:szCs w:val="22"/>
          <w:lang w:val="en-US"/>
        </w:rPr>
        <w:t>gatherers</w:t>
      </w:r>
      <w:r w:rsidR="000F410E" w:rsidRPr="005E7AA7">
        <w:rPr>
          <w:rFonts w:ascii="Garamond" w:hAnsi="Garamond"/>
          <w:bCs/>
          <w:sz w:val="22"/>
          <w:szCs w:val="22"/>
          <w:lang w:val="en-US"/>
        </w:rPr>
        <w:t xml:space="preserve"> </w:t>
      </w:r>
      <w:r w:rsidRPr="005E7AA7">
        <w:rPr>
          <w:rFonts w:ascii="Garamond" w:hAnsi="Garamond"/>
          <w:bCs/>
          <w:sz w:val="22"/>
          <w:szCs w:val="22"/>
          <w:lang w:val="en-US"/>
        </w:rPr>
        <w:t>and small scale farmers existed in the region for</w:t>
      </w:r>
      <w:r w:rsidR="000F410E" w:rsidRPr="005E7AA7">
        <w:rPr>
          <w:rFonts w:ascii="Garamond" w:hAnsi="Garamond"/>
          <w:bCs/>
          <w:sz w:val="22"/>
          <w:szCs w:val="22"/>
          <w:lang w:val="en-US"/>
        </w:rPr>
        <w:t xml:space="preserve"> </w:t>
      </w:r>
      <w:r w:rsidRPr="005E7AA7">
        <w:rPr>
          <w:rFonts w:ascii="Garamond" w:hAnsi="Garamond"/>
          <w:bCs/>
          <w:sz w:val="22"/>
          <w:szCs w:val="22"/>
          <w:lang w:val="en-US"/>
        </w:rPr>
        <w:t>thousands of years. It is not certain which of these groups</w:t>
      </w:r>
      <w:r w:rsidR="000F410E" w:rsidRPr="005E7AA7">
        <w:rPr>
          <w:rFonts w:ascii="Garamond" w:hAnsi="Garamond"/>
          <w:bCs/>
          <w:sz w:val="22"/>
          <w:szCs w:val="22"/>
          <w:lang w:val="en-US"/>
        </w:rPr>
        <w:t xml:space="preserve"> </w:t>
      </w:r>
      <w:proofErr w:type="gramStart"/>
      <w:r w:rsidRPr="005E7AA7">
        <w:rPr>
          <w:rFonts w:ascii="Garamond" w:hAnsi="Garamond"/>
          <w:bCs/>
          <w:sz w:val="22"/>
          <w:szCs w:val="22"/>
          <w:lang w:val="en-US"/>
        </w:rPr>
        <w:t>became the Maya</w:t>
      </w:r>
      <w:proofErr w:type="gramEnd"/>
      <w:r w:rsidRPr="005E7AA7">
        <w:rPr>
          <w:rFonts w:ascii="Garamond" w:hAnsi="Garamond"/>
          <w:bCs/>
          <w:sz w:val="22"/>
          <w:szCs w:val="22"/>
          <w:lang w:val="en-US"/>
        </w:rPr>
        <w:t>. By about 250 CE a Maya cultural identity</w:t>
      </w:r>
      <w:r w:rsidR="000F410E" w:rsidRPr="005E7AA7">
        <w:rPr>
          <w:rFonts w:ascii="Garamond" w:hAnsi="Garamond"/>
          <w:bCs/>
          <w:sz w:val="22"/>
          <w:szCs w:val="22"/>
          <w:lang w:val="en-US"/>
        </w:rPr>
        <w:t xml:space="preserve"> </w:t>
      </w:r>
      <w:r w:rsidRPr="005E7AA7">
        <w:rPr>
          <w:rFonts w:ascii="Garamond" w:hAnsi="Garamond"/>
          <w:bCs/>
          <w:sz w:val="22"/>
          <w:szCs w:val="22"/>
          <w:lang w:val="en-US"/>
        </w:rPr>
        <w:t>was well established and the people were organized in several</w:t>
      </w:r>
      <w:r w:rsidR="000F410E" w:rsidRPr="005E7AA7">
        <w:rPr>
          <w:rFonts w:ascii="Garamond" w:hAnsi="Garamond"/>
          <w:bCs/>
          <w:sz w:val="22"/>
          <w:szCs w:val="22"/>
          <w:lang w:val="en-US"/>
        </w:rPr>
        <w:t xml:space="preserve"> </w:t>
      </w:r>
      <w:r w:rsidRPr="005E7AA7">
        <w:rPr>
          <w:rFonts w:ascii="Garamond" w:hAnsi="Garamond"/>
          <w:bCs/>
          <w:sz w:val="22"/>
          <w:szCs w:val="22"/>
          <w:lang w:val="en-US"/>
        </w:rPr>
        <w:t>state-level societies, ruled by priest-kings and an elite</w:t>
      </w:r>
      <w:r w:rsidR="000F410E" w:rsidRPr="005E7AA7">
        <w:rPr>
          <w:rFonts w:ascii="Garamond" w:hAnsi="Garamond"/>
          <w:bCs/>
          <w:sz w:val="22"/>
          <w:szCs w:val="22"/>
          <w:lang w:val="en-US"/>
        </w:rPr>
        <w:t xml:space="preserve"> </w:t>
      </w:r>
      <w:r w:rsidRPr="005E7AA7">
        <w:rPr>
          <w:rFonts w:ascii="Garamond" w:hAnsi="Garamond"/>
          <w:bCs/>
          <w:sz w:val="22"/>
          <w:szCs w:val="22"/>
          <w:lang w:val="en-US"/>
        </w:rPr>
        <w:t>class of political-religious leaders. Each Maya state group</w:t>
      </w:r>
      <w:r w:rsidR="000F410E" w:rsidRPr="005E7AA7">
        <w:rPr>
          <w:rFonts w:ascii="Garamond" w:hAnsi="Garamond"/>
          <w:bCs/>
          <w:sz w:val="22"/>
          <w:szCs w:val="22"/>
          <w:lang w:val="en-US"/>
        </w:rPr>
        <w:t xml:space="preserve"> </w:t>
      </w:r>
      <w:r w:rsidRPr="005E7AA7">
        <w:rPr>
          <w:rFonts w:ascii="Garamond" w:hAnsi="Garamond"/>
          <w:bCs/>
          <w:sz w:val="22"/>
          <w:szCs w:val="22"/>
          <w:lang w:val="en-US"/>
        </w:rPr>
        <w:t>maintained armies and a workforce of peasants that produced</w:t>
      </w:r>
      <w:r w:rsidR="000F410E" w:rsidRPr="005E7AA7">
        <w:rPr>
          <w:rFonts w:ascii="Garamond" w:hAnsi="Garamond"/>
          <w:bCs/>
          <w:sz w:val="22"/>
          <w:szCs w:val="22"/>
          <w:lang w:val="en-US"/>
        </w:rPr>
        <w:t xml:space="preserve"> </w:t>
      </w:r>
      <w:r w:rsidRPr="005E7AA7">
        <w:rPr>
          <w:rFonts w:ascii="Garamond" w:hAnsi="Garamond"/>
          <w:bCs/>
          <w:sz w:val="22"/>
          <w:szCs w:val="22"/>
          <w:lang w:val="en-US"/>
        </w:rPr>
        <w:t>food using a mosaic system of" ... agricultural fields,</w:t>
      </w:r>
      <w:r w:rsidR="000F410E" w:rsidRPr="005E7AA7">
        <w:rPr>
          <w:rFonts w:ascii="Garamond" w:hAnsi="Garamond"/>
          <w:bCs/>
          <w:sz w:val="22"/>
          <w:szCs w:val="22"/>
          <w:lang w:val="en-US"/>
        </w:rPr>
        <w:t xml:space="preserve"> </w:t>
      </w:r>
      <w:r w:rsidRPr="005E7AA7">
        <w:rPr>
          <w:rFonts w:ascii="Garamond" w:hAnsi="Garamond"/>
          <w:bCs/>
          <w:sz w:val="22"/>
          <w:szCs w:val="22"/>
          <w:lang w:val="en-US"/>
        </w:rPr>
        <w:t>raised wetland fields, kitchen</w:t>
      </w:r>
      <w:r w:rsidR="000F410E" w:rsidRPr="005E7AA7">
        <w:rPr>
          <w:rFonts w:ascii="Garamond" w:hAnsi="Garamond"/>
          <w:bCs/>
          <w:sz w:val="22"/>
          <w:szCs w:val="22"/>
          <w:lang w:val="en-US"/>
        </w:rPr>
        <w:t xml:space="preserve"> gardens, terraced hills, and…</w:t>
      </w:r>
      <w:r w:rsidRPr="005E7AA7">
        <w:rPr>
          <w:rFonts w:ascii="Garamond" w:hAnsi="Garamond"/>
          <w:bCs/>
          <w:sz w:val="22"/>
          <w:szCs w:val="22"/>
          <w:lang w:val="en-US"/>
        </w:rPr>
        <w:t xml:space="preserve">managed forests" </w:t>
      </w:r>
      <w:r w:rsidR="00444A7E"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"DOI" : "10.1073/pnas.0904760107", "ISSN" : "1091-6490", "PMID" : "20018691", "abstract" : "Archaeologists have proposed diverse hypotheses to explain the collapse of the southern Maya lowland cities between the 8th and 10th centuries A.D. Although it generally is believed that no single factor was responsible, a commonly accepted cause is environmental degradation as a product of large-scale deforestation. To date, the most compelling scientific evidence used to support this hypothesis comes from the archaeological site of Copan, Honduras, where the analysis of a sediment core suggested a dramatic increase in forest clearance in the Late Classic period (A.D. 600-900). By contrast, in the work presented here, the authors' analysis of a longer sediment core demonstrates that forest cover increased from A.D. 400 to A.D. 900, with arboreal pollen accounting for 59.8-71.0% of the pollen assemblage by approximately A.D. 780-980. The highest levels of deforestation are found about 900 B.C. when, at its peak, herb pollen made up 89.8% of the assemblage. A second, although less pronounced, period of elevated deforestation peaked at approximately A.D. 400 when herb pollen reached 65.3% of the assemblage. The first deforestation event likely coincided with the widespread adoption of agriculture, a pattern found elsewhere in Mesoamerica. The second period of forest clearance probably was associated with the incursion of Maya speakers into the Copan Valley and their subsequent construction of the earliest levels of the Copan Acropolis. These results refute the former hypothesis that the ancient Maya responded to their increasingly large urban population by exhausting, rather than conserving, natural resources.", "author" : [ { "dropping-particle" : "", "family" : "McNeil", "given" : "Cameron L", "non-dropping-particle" : "", "parse-names" : false, "suffix" : "" }, { "dropping-particle" : "", "family" : "Burney", "given" : "David a", "non-dropping-particle" : "", "parse-names" : false, "suffix" : "" }, { "dropping-particle" : "", "family" : "Burney", "given" : "Lida Pigott", "non-dropping-particle" : "", "parse-names" : false, "suffix" : "" } ], "container-title" : "Proceedings of the National Academy of Sciences of the United States of America", "id" : "ITEM-1", "issue" : "3", "issued" : { "date-parts" : [ [ "2010", "1", "19" ] ] }, "page" : "1017-22", "title" : "Evidence disputing deforestation as the cause for the collapse of the ancient Maya polity of Copan, Honduras.", "type" : "article-journal", "volume" : "107" }, "uris" : [ "http://www.mendeley.com/documents/?uuid=604f1149-0410-4695-9480-db56a2817343" ] } ], "mendeley" : { "previouslyFormattedCitation" : "(McNeil et al., 2010)" }, "properties" : { "noteIndex" : 0 }, "schema" : "https://github.com/citation-style-language/schema/raw/master/csl-citation.json" }</w:instrText>
      </w:r>
      <w:r w:rsidR="00444A7E" w:rsidRPr="005E7AA7">
        <w:rPr>
          <w:rFonts w:ascii="Garamond" w:hAnsi="Garamond"/>
          <w:bCs/>
          <w:sz w:val="22"/>
          <w:szCs w:val="22"/>
          <w:lang w:val="en-US"/>
        </w:rPr>
        <w:fldChar w:fldCharType="separate"/>
      </w:r>
      <w:r w:rsidR="00834114" w:rsidRPr="005E7AA7">
        <w:rPr>
          <w:rFonts w:ascii="Garamond" w:hAnsi="Garamond"/>
          <w:bCs/>
          <w:noProof/>
          <w:sz w:val="22"/>
          <w:szCs w:val="22"/>
          <w:lang w:val="en-US"/>
        </w:rPr>
        <w:t>(McNeil et al., 2010)</w:t>
      </w:r>
      <w:r w:rsidR="00444A7E" w:rsidRPr="005E7AA7">
        <w:rPr>
          <w:rFonts w:ascii="Garamond" w:hAnsi="Garamond"/>
          <w:bCs/>
          <w:sz w:val="22"/>
          <w:szCs w:val="22"/>
          <w:lang w:val="en-US"/>
        </w:rPr>
        <w:fldChar w:fldCharType="end"/>
      </w:r>
      <w:r w:rsidRPr="005E7AA7">
        <w:rPr>
          <w:rFonts w:ascii="Garamond" w:hAnsi="Garamond"/>
          <w:bCs/>
          <w:sz w:val="22"/>
          <w:szCs w:val="22"/>
          <w:lang w:val="en-US"/>
        </w:rPr>
        <w:t>. Maya plant and animal</w:t>
      </w:r>
      <w:r w:rsidR="00444A7E" w:rsidRPr="005E7AA7">
        <w:rPr>
          <w:rFonts w:ascii="Garamond" w:hAnsi="Garamond"/>
          <w:bCs/>
          <w:sz w:val="22"/>
          <w:szCs w:val="22"/>
          <w:lang w:val="en-US"/>
        </w:rPr>
        <w:t xml:space="preserve"> </w:t>
      </w:r>
      <w:r w:rsidRPr="005E7AA7">
        <w:rPr>
          <w:rFonts w:ascii="Garamond" w:hAnsi="Garamond"/>
          <w:bCs/>
          <w:sz w:val="22"/>
          <w:szCs w:val="22"/>
          <w:lang w:val="en-US"/>
        </w:rPr>
        <w:t>husbandry cultivated a diversity of species to provide</w:t>
      </w:r>
      <w:r w:rsidR="00444A7E" w:rsidRPr="005E7AA7">
        <w:rPr>
          <w:rFonts w:ascii="Garamond" w:hAnsi="Garamond"/>
          <w:bCs/>
          <w:sz w:val="22"/>
          <w:szCs w:val="22"/>
          <w:lang w:val="en-US"/>
        </w:rPr>
        <w:t xml:space="preserve"> </w:t>
      </w:r>
      <w:r w:rsidRPr="005E7AA7">
        <w:rPr>
          <w:rFonts w:ascii="Garamond" w:hAnsi="Garamond"/>
          <w:bCs/>
          <w:sz w:val="22"/>
          <w:szCs w:val="22"/>
          <w:lang w:val="en-US"/>
        </w:rPr>
        <w:t>food; medicinal plants; and wild animals for protein food</w:t>
      </w:r>
      <w:r w:rsidR="00444A7E" w:rsidRPr="005E7AA7">
        <w:rPr>
          <w:rFonts w:ascii="Garamond" w:hAnsi="Garamond"/>
          <w:bCs/>
          <w:sz w:val="22"/>
          <w:szCs w:val="22"/>
          <w:lang w:val="en-US"/>
        </w:rPr>
        <w:t xml:space="preserve"> </w:t>
      </w:r>
      <w:r w:rsidRPr="005E7AA7">
        <w:rPr>
          <w:rFonts w:ascii="Garamond" w:hAnsi="Garamond"/>
          <w:bCs/>
          <w:sz w:val="22"/>
          <w:szCs w:val="22"/>
          <w:lang w:val="en-US"/>
        </w:rPr>
        <w:t xml:space="preserve">and honey, firewood, and building materials. </w:t>
      </w:r>
    </w:p>
    <w:p w:rsidR="00B856A5" w:rsidRPr="005E7AA7" w:rsidRDefault="00B856A5" w:rsidP="005E7AA7">
      <w:pPr>
        <w:rPr>
          <w:rFonts w:ascii="Garamond" w:hAnsi="Garamond"/>
          <w:bCs/>
          <w:sz w:val="22"/>
          <w:szCs w:val="22"/>
          <w:lang w:val="en-US"/>
        </w:rPr>
      </w:pPr>
      <w:r w:rsidRPr="005E7AA7">
        <w:rPr>
          <w:rFonts w:ascii="Garamond" w:hAnsi="Garamond"/>
          <w:bCs/>
          <w:sz w:val="22"/>
          <w:szCs w:val="22"/>
          <w:lang w:val="en-US"/>
        </w:rPr>
        <w:t>This is how the Spanish and Portuguese Conquistadors</w:t>
      </w:r>
      <w:r w:rsidR="00444A7E" w:rsidRPr="005E7AA7">
        <w:rPr>
          <w:rFonts w:ascii="Garamond" w:hAnsi="Garamond"/>
          <w:bCs/>
          <w:sz w:val="22"/>
          <w:szCs w:val="22"/>
          <w:lang w:val="en-US"/>
        </w:rPr>
        <w:t xml:space="preserve"> </w:t>
      </w:r>
      <w:r w:rsidRPr="005E7AA7">
        <w:rPr>
          <w:rFonts w:ascii="Garamond" w:hAnsi="Garamond"/>
          <w:bCs/>
          <w:sz w:val="22"/>
          <w:szCs w:val="22"/>
          <w:lang w:val="en-US"/>
        </w:rPr>
        <w:t xml:space="preserve">encountered the </w:t>
      </w:r>
      <w:r w:rsidR="00473EFB" w:rsidRPr="005E7AA7">
        <w:rPr>
          <w:rFonts w:ascii="Garamond" w:hAnsi="Garamond"/>
          <w:bCs/>
          <w:sz w:val="22"/>
          <w:szCs w:val="22"/>
          <w:lang w:val="en-US"/>
        </w:rPr>
        <w:t>Maya in the Yucatan Peninsula</w:t>
      </w:r>
      <w:r w:rsidR="00CB6F0B" w:rsidRPr="005E7AA7">
        <w:rPr>
          <w:rFonts w:ascii="Garamond" w:hAnsi="Garamond"/>
          <w:bCs/>
          <w:sz w:val="22"/>
          <w:szCs w:val="22"/>
          <w:lang w:val="en-US"/>
        </w:rPr>
        <w:t xml:space="preserve"> in the year 1500.</w:t>
      </w:r>
      <w:r w:rsidR="00444A7E" w:rsidRPr="005E7AA7">
        <w:rPr>
          <w:rFonts w:ascii="Garamond" w:hAnsi="Garamond"/>
          <w:bCs/>
          <w:sz w:val="22"/>
          <w:szCs w:val="22"/>
          <w:lang w:val="en-US"/>
        </w:rPr>
        <w:t xml:space="preserve"> </w:t>
      </w:r>
      <w:r w:rsidRPr="005E7AA7">
        <w:rPr>
          <w:rFonts w:ascii="Garamond" w:hAnsi="Garamond"/>
          <w:bCs/>
          <w:sz w:val="22"/>
          <w:szCs w:val="22"/>
          <w:lang w:val="en-US"/>
        </w:rPr>
        <w:t>New infectious diseases introduced by the Conquistadors,</w:t>
      </w:r>
      <w:r w:rsidR="00444A7E" w:rsidRPr="005E7AA7">
        <w:rPr>
          <w:rFonts w:ascii="Garamond" w:hAnsi="Garamond"/>
          <w:bCs/>
          <w:sz w:val="22"/>
          <w:szCs w:val="22"/>
          <w:lang w:val="en-US"/>
        </w:rPr>
        <w:t xml:space="preserve"> </w:t>
      </w:r>
      <w:r w:rsidRPr="005E7AA7">
        <w:rPr>
          <w:rFonts w:ascii="Garamond" w:hAnsi="Garamond"/>
          <w:bCs/>
          <w:sz w:val="22"/>
          <w:szCs w:val="22"/>
          <w:lang w:val="en-US"/>
        </w:rPr>
        <w:t>such as smallpox, bubonic plague, and measles, spread rapidly</w:t>
      </w:r>
      <w:r w:rsidR="00444A7E" w:rsidRPr="005E7AA7">
        <w:rPr>
          <w:rFonts w:ascii="Garamond" w:hAnsi="Garamond"/>
          <w:bCs/>
          <w:sz w:val="22"/>
          <w:szCs w:val="22"/>
          <w:lang w:val="en-US"/>
        </w:rPr>
        <w:t xml:space="preserve"> </w:t>
      </w:r>
      <w:r w:rsidRPr="005E7AA7">
        <w:rPr>
          <w:rFonts w:ascii="Garamond" w:hAnsi="Garamond"/>
          <w:bCs/>
          <w:sz w:val="22"/>
          <w:szCs w:val="22"/>
          <w:lang w:val="en-US"/>
        </w:rPr>
        <w:t xml:space="preserve">among the </w:t>
      </w:r>
      <w:proofErr w:type="gramStart"/>
      <w:r w:rsidRPr="005E7AA7">
        <w:rPr>
          <w:rFonts w:ascii="Garamond" w:hAnsi="Garamond"/>
          <w:bCs/>
          <w:sz w:val="22"/>
          <w:szCs w:val="22"/>
          <w:lang w:val="en-US"/>
        </w:rPr>
        <w:t>Maya,</w:t>
      </w:r>
      <w:proofErr w:type="gramEnd"/>
      <w:r w:rsidRPr="005E7AA7">
        <w:rPr>
          <w:rFonts w:ascii="Garamond" w:hAnsi="Garamond"/>
          <w:bCs/>
          <w:sz w:val="22"/>
          <w:szCs w:val="22"/>
          <w:lang w:val="en-US"/>
        </w:rPr>
        <w:t xml:space="preserve"> and without any biological or social</w:t>
      </w:r>
      <w:r w:rsidR="00444A7E" w:rsidRPr="005E7AA7">
        <w:rPr>
          <w:rFonts w:ascii="Garamond" w:hAnsi="Garamond"/>
          <w:bCs/>
          <w:sz w:val="22"/>
          <w:szCs w:val="22"/>
          <w:lang w:val="en-US"/>
        </w:rPr>
        <w:t xml:space="preserve"> </w:t>
      </w:r>
      <w:r w:rsidRPr="005E7AA7">
        <w:rPr>
          <w:rFonts w:ascii="Garamond" w:hAnsi="Garamond"/>
          <w:bCs/>
          <w:sz w:val="22"/>
          <w:szCs w:val="22"/>
          <w:lang w:val="en-US"/>
        </w:rPr>
        <w:t>resistance whole villages of Maya were decimated. Between</w:t>
      </w:r>
      <w:r w:rsidR="00444A7E" w:rsidRPr="005E7AA7">
        <w:rPr>
          <w:rFonts w:ascii="Garamond" w:hAnsi="Garamond"/>
          <w:bCs/>
          <w:sz w:val="22"/>
          <w:szCs w:val="22"/>
          <w:lang w:val="en-US"/>
        </w:rPr>
        <w:t xml:space="preserve"> </w:t>
      </w:r>
      <w:r w:rsidRPr="005E7AA7">
        <w:rPr>
          <w:rFonts w:ascii="Garamond" w:hAnsi="Garamond"/>
          <w:bCs/>
          <w:sz w:val="22"/>
          <w:szCs w:val="22"/>
          <w:lang w:val="en-US"/>
        </w:rPr>
        <w:t xml:space="preserve">1519 and 1632 </w:t>
      </w:r>
      <w:r w:rsidR="00A701E4" w:rsidRPr="005E7AA7">
        <w:rPr>
          <w:rFonts w:ascii="Garamond" w:hAnsi="Garamond"/>
          <w:bCs/>
          <w:sz w:val="22"/>
          <w:szCs w:val="22"/>
          <w:lang w:val="en-US"/>
        </w:rPr>
        <w:t xml:space="preserve">at least </w:t>
      </w:r>
      <w:r w:rsidRPr="005E7AA7">
        <w:rPr>
          <w:rFonts w:ascii="Garamond" w:hAnsi="Garamond"/>
          <w:bCs/>
          <w:sz w:val="22"/>
          <w:szCs w:val="22"/>
          <w:lang w:val="en-US"/>
        </w:rPr>
        <w:t xml:space="preserve">eight epidemics </w:t>
      </w:r>
      <w:r w:rsidR="00A701E4" w:rsidRPr="005E7AA7">
        <w:rPr>
          <w:rFonts w:ascii="Garamond" w:hAnsi="Garamond"/>
          <w:bCs/>
          <w:sz w:val="22"/>
          <w:szCs w:val="22"/>
          <w:lang w:val="en-US"/>
        </w:rPr>
        <w:t xml:space="preserve">spread across Yucatan and </w:t>
      </w:r>
      <w:r w:rsidRPr="005E7AA7">
        <w:rPr>
          <w:rFonts w:ascii="Garamond" w:hAnsi="Garamond"/>
          <w:bCs/>
          <w:sz w:val="22"/>
          <w:szCs w:val="22"/>
          <w:lang w:val="en-US"/>
        </w:rPr>
        <w:t>Guatemala</w:t>
      </w:r>
      <w:r w:rsidR="00444A7E" w:rsidRPr="005E7AA7">
        <w:rPr>
          <w:rFonts w:ascii="Garamond" w:hAnsi="Garamond"/>
          <w:bCs/>
          <w:sz w:val="22"/>
          <w:szCs w:val="22"/>
          <w:lang w:val="en-US"/>
        </w:rPr>
        <w:t xml:space="preserve"> </w:t>
      </w:r>
      <w:r w:rsidR="00A701E4"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"author" : [ { "dropping-particle" : "", "family" : "Lovell", "given" : "William G", "non-dropping-particle" : "", "parse-names" : false, "suffix" : "" } ], "edition" : "2nd editio", "id" : "ITEM-1", "issued" : { "date-parts" : [ [ "2010" ] ] }, "publisher" : "University of Texas Press", "publisher-place" : "Austin", "title" : "A Beauty That Hurts: Life and Death in Guatemala", "type" : "book" }, "uris" : [ "http://www.mendeley.com/documents/?uuid=0544f1e5-3ad9-4301-8e0d-d40ad73a3707" ] } ], "mendeley" : { "manualFormatting" : "(Lovell, 2010)", "previouslyFormattedCitation" : "(Lovell, 2010)" }, "properties" : { "noteIndex" : 0 }, "schema" : "https://github.com/citation-style-language/schema/raw/master/csl-citation.json" }</w:instrText>
      </w:r>
      <w:r w:rsidR="00A701E4" w:rsidRPr="005E7AA7">
        <w:rPr>
          <w:rFonts w:ascii="Garamond" w:hAnsi="Garamond"/>
          <w:bCs/>
          <w:sz w:val="22"/>
          <w:szCs w:val="22"/>
          <w:lang w:val="en-US"/>
        </w:rPr>
        <w:fldChar w:fldCharType="separate"/>
      </w:r>
      <w:r w:rsidR="00A701E4" w:rsidRPr="005E7AA7">
        <w:rPr>
          <w:rFonts w:ascii="Garamond" w:hAnsi="Garamond"/>
          <w:bCs/>
          <w:noProof/>
          <w:sz w:val="22"/>
          <w:szCs w:val="22"/>
          <w:lang w:val="en-US"/>
        </w:rPr>
        <w:t>(Lovell, 2010)</w:t>
      </w:r>
      <w:r w:rsidR="00A701E4" w:rsidRPr="005E7AA7">
        <w:rPr>
          <w:rFonts w:ascii="Garamond" w:hAnsi="Garamond"/>
          <w:bCs/>
          <w:sz w:val="22"/>
          <w:szCs w:val="22"/>
          <w:lang w:val="en-US"/>
        </w:rPr>
        <w:fldChar w:fldCharType="end"/>
      </w:r>
      <w:r w:rsidRPr="005E7AA7">
        <w:rPr>
          <w:rFonts w:ascii="Garamond" w:hAnsi="Garamond"/>
          <w:bCs/>
          <w:sz w:val="22"/>
          <w:szCs w:val="22"/>
          <w:lang w:val="en-US"/>
        </w:rPr>
        <w:t xml:space="preserve">. </w:t>
      </w:r>
      <w:r w:rsidR="00A701E4" w:rsidRPr="005E7AA7">
        <w:rPr>
          <w:rFonts w:ascii="Garamond" w:hAnsi="Garamond"/>
          <w:bCs/>
          <w:sz w:val="22"/>
          <w:szCs w:val="22"/>
          <w:lang w:val="en-US"/>
        </w:rPr>
        <w:t>It is estimated that 90 percent of the Maya population died</w:t>
      </w:r>
      <w:r w:rsidR="006759B8" w:rsidRPr="005E7AA7">
        <w:rPr>
          <w:rFonts w:ascii="Garamond" w:hAnsi="Garamond"/>
          <w:bCs/>
          <w:sz w:val="22"/>
          <w:szCs w:val="22"/>
          <w:lang w:val="en-US"/>
        </w:rPr>
        <w:t xml:space="preserve"> </w:t>
      </w:r>
      <w:r w:rsidR="00A701E4" w:rsidRPr="005E7AA7">
        <w:rPr>
          <w:rFonts w:ascii="Garamond" w:hAnsi="Garamond"/>
          <w:bCs/>
          <w:sz w:val="22"/>
          <w:szCs w:val="22"/>
          <w:lang w:val="en-US"/>
        </w:rPr>
        <w:t>between 1500 and1625</w:t>
      </w:r>
      <w:r w:rsidR="006759B8" w:rsidRPr="005E7AA7">
        <w:rPr>
          <w:rFonts w:ascii="Garamond" w:hAnsi="Garamond"/>
          <w:bCs/>
          <w:sz w:val="22"/>
          <w:szCs w:val="22"/>
          <w:lang w:val="en-US"/>
        </w:rPr>
        <w:t>, totaling about 1.8 million people in Guatemala</w:t>
      </w:r>
      <w:r w:rsidR="00A701E4" w:rsidRPr="005E7AA7">
        <w:rPr>
          <w:rFonts w:ascii="Garamond" w:hAnsi="Garamond"/>
          <w:bCs/>
          <w:sz w:val="22"/>
          <w:szCs w:val="22"/>
          <w:lang w:val="en-US"/>
        </w:rPr>
        <w:t xml:space="preserve"> </w:t>
      </w:r>
      <w:r w:rsidR="00A701E4"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"abstract" : "Between 5 and 6 million Maya Indians today constitute roughly half of Guate- mala's total population. From the eve of conquest to the present, the collapse, recovery, and growth of the Maya population reveals a trajectory of survival few Native American groups have been able to sustain. A review of archival and published sources indicates an enduring Maya presence from the sixteenth century to the twentieth, a demographic fact that official state institutions like the national census have tended to downplay or have documented in- adequately. Accurate, reliable assessment of indigenous numbers thwarts present-day inves- tigations as much as those rooted in the past, for Maya Indians fled far beyond Guatemala's borders during civil strife in the early 198os and now form sizable communities in Mexico, the United States, and even Canada", "author" : [ { "dropping-particle" : "", "family" : "Lovell", "given" : "George W", "non-dropping-particle" : "", "parse-names" : false, "suffix" : "" }, { "dropping-particle" : "", "family" : "Lutz", "given" : "Christopher H", "non-dropping-particle" : "", "parse-names" : false, "suffix" : "" } ], "container-title" : "Geographical Review", "id" : "ITEM-1", "issue" : "3", "issued" : { "date-parts" : [ [ "1996" ] ] }, "page" : "398-407", "title" : "\"A Dark Obverse\": Maya Survival in Guatemala,: 1520-1994", "type" : "article-journal", "volume" : "86" }, "uris" : [ "http://www.mendeley.com/documents/?uuid=9bf16a37-5155-4464-ad35-123ae4add731" ] } ], "mendeley" : { "manualFormatting" : "(Lovell &amp; Lutz, 1996)", "previouslyFormattedCitation" : "(Lovell and Lutz, 1996)" }, "properties" : { "noteIndex" : 0 }, "schema" : "https://github.com/citation-style-language/schema/raw/master/csl-citation.json" }</w:instrText>
      </w:r>
      <w:r w:rsidR="00A701E4" w:rsidRPr="005E7AA7">
        <w:rPr>
          <w:rFonts w:ascii="Garamond" w:hAnsi="Garamond"/>
          <w:bCs/>
          <w:sz w:val="22"/>
          <w:szCs w:val="22"/>
          <w:lang w:val="en-US"/>
        </w:rPr>
        <w:fldChar w:fldCharType="separate"/>
      </w:r>
      <w:r w:rsidR="00A701E4" w:rsidRPr="005E7AA7">
        <w:rPr>
          <w:rFonts w:ascii="Garamond" w:hAnsi="Garamond"/>
          <w:bCs/>
          <w:noProof/>
          <w:sz w:val="22"/>
          <w:szCs w:val="22"/>
          <w:lang w:val="en-US"/>
        </w:rPr>
        <w:t>(Lovell &amp; Lutz, 1996)</w:t>
      </w:r>
      <w:r w:rsidR="00A701E4" w:rsidRPr="005E7AA7">
        <w:rPr>
          <w:rFonts w:ascii="Garamond" w:hAnsi="Garamond"/>
          <w:bCs/>
          <w:sz w:val="22"/>
          <w:szCs w:val="22"/>
          <w:lang w:val="en-US"/>
        </w:rPr>
        <w:fldChar w:fldCharType="end"/>
      </w:r>
      <w:r w:rsidR="00CB6F0B" w:rsidRPr="005E7AA7">
        <w:rPr>
          <w:rFonts w:ascii="Garamond" w:hAnsi="Garamond"/>
          <w:bCs/>
          <w:sz w:val="22"/>
          <w:szCs w:val="22"/>
          <w:lang w:val="en-US"/>
        </w:rPr>
        <w:t>.</w:t>
      </w:r>
    </w:p>
    <w:p w:rsidR="00CB6F0B" w:rsidRPr="005E7AA7" w:rsidRDefault="00B856A5" w:rsidP="005E7AA7">
      <w:pPr>
        <w:rPr>
          <w:rFonts w:ascii="Garamond" w:hAnsi="Garamond"/>
          <w:bCs/>
          <w:sz w:val="22"/>
          <w:szCs w:val="22"/>
          <w:lang w:val="en-US"/>
        </w:rPr>
      </w:pPr>
      <w:r w:rsidRPr="005E7AA7">
        <w:rPr>
          <w:rFonts w:ascii="Garamond" w:hAnsi="Garamond"/>
          <w:bCs/>
          <w:sz w:val="22"/>
          <w:szCs w:val="22"/>
          <w:lang w:val="en-US"/>
        </w:rPr>
        <w:t>In the past 200 years or so, Maya culture has been</w:t>
      </w:r>
      <w:r w:rsidR="00A701E4" w:rsidRPr="005E7AA7">
        <w:rPr>
          <w:rFonts w:ascii="Garamond" w:hAnsi="Garamond"/>
          <w:bCs/>
          <w:sz w:val="22"/>
          <w:szCs w:val="22"/>
          <w:lang w:val="en-US"/>
        </w:rPr>
        <w:t xml:space="preserve"> </w:t>
      </w:r>
      <w:r w:rsidRPr="005E7AA7">
        <w:rPr>
          <w:rFonts w:ascii="Garamond" w:hAnsi="Garamond"/>
          <w:bCs/>
          <w:sz w:val="22"/>
          <w:szCs w:val="22"/>
          <w:lang w:val="en-US"/>
        </w:rPr>
        <w:t xml:space="preserve">characterized by </w:t>
      </w:r>
      <w:r w:rsidR="000C373B" w:rsidRPr="005E7AA7">
        <w:rPr>
          <w:rFonts w:ascii="Garamond" w:hAnsi="Garamond"/>
          <w:bCs/>
          <w:sz w:val="22"/>
          <w:szCs w:val="22"/>
          <w:lang w:val="en-US"/>
        </w:rPr>
        <w:t>s</w:t>
      </w:r>
      <w:r w:rsidRPr="005E7AA7">
        <w:rPr>
          <w:rFonts w:ascii="Garamond" w:hAnsi="Garamond"/>
          <w:bCs/>
          <w:sz w:val="22"/>
          <w:szCs w:val="22"/>
          <w:lang w:val="en-US"/>
        </w:rPr>
        <w:t>ubsistence and market-oriented agriculture,</w:t>
      </w:r>
      <w:r w:rsidR="000C373B" w:rsidRPr="005E7AA7">
        <w:rPr>
          <w:rFonts w:ascii="Garamond" w:hAnsi="Garamond"/>
          <w:bCs/>
          <w:sz w:val="22"/>
          <w:szCs w:val="22"/>
          <w:lang w:val="en-US"/>
        </w:rPr>
        <w:t xml:space="preserve"> </w:t>
      </w:r>
      <w:r w:rsidRPr="005E7AA7">
        <w:rPr>
          <w:rFonts w:ascii="Garamond" w:hAnsi="Garamond"/>
          <w:bCs/>
          <w:sz w:val="22"/>
          <w:szCs w:val="22"/>
          <w:lang w:val="en-US"/>
        </w:rPr>
        <w:t>small-scale animal holdings (sheep, chickens, a cow,</w:t>
      </w:r>
      <w:r w:rsidR="000C373B" w:rsidRPr="005E7AA7">
        <w:rPr>
          <w:rFonts w:ascii="Garamond" w:hAnsi="Garamond"/>
          <w:bCs/>
          <w:sz w:val="22"/>
          <w:szCs w:val="22"/>
          <w:lang w:val="en-US"/>
        </w:rPr>
        <w:t xml:space="preserve"> </w:t>
      </w:r>
      <w:r w:rsidRPr="005E7AA7">
        <w:rPr>
          <w:rFonts w:ascii="Garamond" w:hAnsi="Garamond"/>
          <w:bCs/>
          <w:sz w:val="22"/>
          <w:szCs w:val="22"/>
          <w:lang w:val="en-US"/>
        </w:rPr>
        <w:t>or burro) augmented by craft specialization. An example</w:t>
      </w:r>
      <w:r w:rsidR="000C373B" w:rsidRPr="005E7AA7">
        <w:rPr>
          <w:rFonts w:ascii="Garamond" w:hAnsi="Garamond"/>
          <w:bCs/>
          <w:sz w:val="22"/>
          <w:szCs w:val="22"/>
          <w:lang w:val="en-US"/>
        </w:rPr>
        <w:t xml:space="preserve"> </w:t>
      </w:r>
      <w:r w:rsidRPr="005E7AA7">
        <w:rPr>
          <w:rFonts w:ascii="Garamond" w:hAnsi="Garamond"/>
          <w:bCs/>
          <w:sz w:val="22"/>
          <w:szCs w:val="22"/>
          <w:lang w:val="en-US"/>
        </w:rPr>
        <w:t>of Maya wom</w:t>
      </w:r>
      <w:r w:rsidR="00473EFB" w:rsidRPr="005E7AA7">
        <w:rPr>
          <w:rFonts w:ascii="Garamond" w:hAnsi="Garamond"/>
          <w:bCs/>
          <w:sz w:val="22"/>
          <w:szCs w:val="22"/>
          <w:lang w:val="en-US"/>
        </w:rPr>
        <w:t>e</w:t>
      </w:r>
      <w:r w:rsidRPr="005E7AA7">
        <w:rPr>
          <w:rFonts w:ascii="Garamond" w:hAnsi="Garamond"/>
          <w:bCs/>
          <w:sz w:val="22"/>
          <w:szCs w:val="22"/>
          <w:lang w:val="en-US"/>
        </w:rPr>
        <w:t>n</w:t>
      </w:r>
      <w:r w:rsidR="00033477" w:rsidRPr="005E7AA7">
        <w:rPr>
          <w:rFonts w:ascii="Garamond" w:hAnsi="Garamond"/>
          <w:bCs/>
          <w:sz w:val="22"/>
          <w:szCs w:val="22"/>
          <w:lang w:val="en-US"/>
        </w:rPr>
        <w:t>,</w:t>
      </w:r>
      <w:r w:rsidRPr="005E7AA7">
        <w:rPr>
          <w:rFonts w:ascii="Garamond" w:hAnsi="Garamond"/>
          <w:bCs/>
          <w:sz w:val="22"/>
          <w:szCs w:val="22"/>
          <w:lang w:val="en-US"/>
        </w:rPr>
        <w:t xml:space="preserve"> </w:t>
      </w:r>
      <w:r w:rsidR="00473EFB" w:rsidRPr="005E7AA7">
        <w:rPr>
          <w:rFonts w:ascii="Garamond" w:hAnsi="Garamond"/>
          <w:bCs/>
          <w:sz w:val="22"/>
          <w:szCs w:val="22"/>
          <w:lang w:val="en-US"/>
        </w:rPr>
        <w:t>and a girl</w:t>
      </w:r>
      <w:r w:rsidR="00033477" w:rsidRPr="005E7AA7">
        <w:rPr>
          <w:rFonts w:ascii="Garamond" w:hAnsi="Garamond"/>
          <w:bCs/>
          <w:sz w:val="22"/>
          <w:szCs w:val="22"/>
          <w:lang w:val="en-US"/>
        </w:rPr>
        <w:t>,</w:t>
      </w:r>
      <w:r w:rsidR="00473EFB" w:rsidRPr="005E7AA7">
        <w:rPr>
          <w:rFonts w:ascii="Garamond" w:hAnsi="Garamond"/>
          <w:bCs/>
          <w:sz w:val="22"/>
          <w:szCs w:val="22"/>
          <w:lang w:val="en-US"/>
        </w:rPr>
        <w:t xml:space="preserve"> </w:t>
      </w:r>
      <w:r w:rsidRPr="005E7AA7">
        <w:rPr>
          <w:rFonts w:ascii="Garamond" w:hAnsi="Garamond"/>
          <w:bCs/>
          <w:sz w:val="22"/>
          <w:szCs w:val="22"/>
          <w:lang w:val="en-US"/>
        </w:rPr>
        <w:t>wearing traditional woven and embroidered</w:t>
      </w:r>
      <w:r w:rsidR="000C373B" w:rsidRPr="005E7AA7">
        <w:rPr>
          <w:rFonts w:ascii="Garamond" w:hAnsi="Garamond"/>
          <w:bCs/>
          <w:sz w:val="22"/>
          <w:szCs w:val="22"/>
          <w:lang w:val="en-US"/>
        </w:rPr>
        <w:t xml:space="preserve"> </w:t>
      </w:r>
      <w:r w:rsidRPr="005E7AA7">
        <w:rPr>
          <w:rFonts w:ascii="Garamond" w:hAnsi="Garamond"/>
          <w:bCs/>
          <w:sz w:val="22"/>
          <w:szCs w:val="22"/>
          <w:lang w:val="en-US"/>
        </w:rPr>
        <w:t>clothing</w:t>
      </w:r>
      <w:r w:rsidR="000C373B" w:rsidRPr="005E7AA7">
        <w:rPr>
          <w:rFonts w:ascii="Garamond" w:hAnsi="Garamond"/>
          <w:bCs/>
          <w:sz w:val="22"/>
          <w:szCs w:val="22"/>
          <w:lang w:val="en-US"/>
        </w:rPr>
        <w:t>, and making tortillas, a tradition</w:t>
      </w:r>
      <w:r w:rsidR="00EB2F8A" w:rsidRPr="005E7AA7">
        <w:rPr>
          <w:rFonts w:ascii="Garamond" w:hAnsi="Garamond"/>
          <w:bCs/>
          <w:sz w:val="22"/>
          <w:szCs w:val="22"/>
          <w:lang w:val="en-US"/>
        </w:rPr>
        <w:t>al</w:t>
      </w:r>
      <w:r w:rsidR="000C373B" w:rsidRPr="005E7AA7">
        <w:rPr>
          <w:rFonts w:ascii="Garamond" w:hAnsi="Garamond"/>
          <w:bCs/>
          <w:sz w:val="22"/>
          <w:szCs w:val="22"/>
          <w:lang w:val="en-US"/>
        </w:rPr>
        <w:t xml:space="preserve"> food,</w:t>
      </w:r>
      <w:r w:rsidRPr="005E7AA7">
        <w:rPr>
          <w:rFonts w:ascii="Garamond" w:hAnsi="Garamond"/>
          <w:bCs/>
          <w:sz w:val="22"/>
          <w:szCs w:val="22"/>
          <w:lang w:val="en-US"/>
        </w:rPr>
        <w:t xml:space="preserve"> is</w:t>
      </w:r>
      <w:r w:rsidR="000C373B" w:rsidRPr="005E7AA7">
        <w:rPr>
          <w:rFonts w:ascii="Garamond" w:hAnsi="Garamond"/>
          <w:bCs/>
          <w:sz w:val="22"/>
          <w:szCs w:val="22"/>
          <w:lang w:val="en-US"/>
        </w:rPr>
        <w:t xml:space="preserve"> provided</w:t>
      </w:r>
      <w:r w:rsidRPr="005E7AA7">
        <w:rPr>
          <w:rFonts w:ascii="Garamond" w:hAnsi="Garamond"/>
          <w:bCs/>
          <w:sz w:val="22"/>
          <w:szCs w:val="22"/>
          <w:lang w:val="en-US"/>
        </w:rPr>
        <w:t xml:space="preserve"> in Figure </w:t>
      </w:r>
      <w:r w:rsidR="000C373B" w:rsidRPr="005E7AA7">
        <w:rPr>
          <w:rFonts w:ascii="Garamond" w:hAnsi="Garamond"/>
          <w:bCs/>
          <w:sz w:val="22"/>
          <w:szCs w:val="22"/>
          <w:lang w:val="en-US"/>
        </w:rPr>
        <w:t>2</w:t>
      </w:r>
      <w:r w:rsidRPr="005E7AA7">
        <w:rPr>
          <w:rFonts w:ascii="Garamond" w:hAnsi="Garamond"/>
          <w:bCs/>
          <w:sz w:val="22"/>
          <w:szCs w:val="22"/>
          <w:lang w:val="en-US"/>
        </w:rPr>
        <w:t xml:space="preserve">. </w:t>
      </w:r>
      <w:r w:rsidR="00CB6F0B" w:rsidRPr="005E7AA7">
        <w:rPr>
          <w:rFonts w:ascii="Garamond" w:hAnsi="Garamond"/>
          <w:noProof/>
          <w:sz w:val="22"/>
          <w:szCs w:val="22"/>
          <w:lang w:eastAsia="en-GB"/>
        </w:rPr>
        <w:drawing>
          <wp:inline distT="0" distB="0" distL="0" distR="0" wp14:anchorId="730F077E" wp14:editId="229F6F4D">
            <wp:extent cx="4083050" cy="2732740"/>
            <wp:effectExtent l="0" t="0" r="0" b="0"/>
            <wp:docPr id="3074" name="Picture 2" descr="C:\Users\hubab\Desktop\Photos of Maya\0001 Final selection of photos with captions\1.01 Making tortil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hubab\Desktop\Photos of Maya\0001 Final selection of photos with captions\1.01 Making tortilla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86561" cy="2735090"/>
                    </a:xfrm>
                    <a:prstGeom prst="rect">
                      <a:avLst/>
                    </a:prstGeom>
                    <a:noFill/>
                    <a:extLst/>
                  </pic:spPr>
                </pic:pic>
              </a:graphicData>
            </a:graphic>
          </wp:inline>
        </w:drawing>
      </w:r>
    </w:p>
    <w:p w:rsidR="00A71A68" w:rsidRDefault="00CB6F0B" w:rsidP="00A71A68">
      <w:pPr>
        <w:ind w:firstLine="720"/>
        <w:rPr>
          <w:rFonts w:ascii="Garamond" w:hAnsi="Garamond"/>
          <w:sz w:val="22"/>
          <w:szCs w:val="22"/>
        </w:rPr>
      </w:pPr>
      <w:r w:rsidRPr="005E7AA7">
        <w:rPr>
          <w:rFonts w:ascii="Garamond" w:hAnsi="Garamond"/>
          <w:bCs/>
          <w:noProof/>
          <w:sz w:val="22"/>
          <w:szCs w:val="22"/>
          <w:lang w:eastAsia="en-GB"/>
        </w:rPr>
        <mc:AlternateContent>
          <mc:Choice Requires="wps">
            <w:drawing>
              <wp:anchor distT="0" distB="0" distL="114300" distR="114300" simplePos="0" relativeHeight="251663360" behindDoc="0" locked="0" layoutInCell="1" allowOverlap="1" wp14:anchorId="1817508B" wp14:editId="51799E91">
                <wp:simplePos x="0" y="0"/>
                <wp:positionH relativeFrom="column">
                  <wp:posOffset>15571</wp:posOffset>
                </wp:positionH>
                <wp:positionV relativeFrom="paragraph">
                  <wp:posOffset>-151130</wp:posOffset>
                </wp:positionV>
                <wp:extent cx="5685183" cy="1144988"/>
                <wp:effectExtent l="0" t="0" r="1079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83" cy="1144988"/>
                        </a:xfrm>
                        <a:prstGeom prst="rect">
                          <a:avLst/>
                        </a:prstGeom>
                        <a:solidFill>
                          <a:srgbClr val="FFFFFF"/>
                        </a:solidFill>
                        <a:ln w="9525">
                          <a:solidFill>
                            <a:srgbClr val="000000"/>
                          </a:solidFill>
                          <a:miter lim="800000"/>
                          <a:headEnd/>
                          <a:tailEnd/>
                        </a:ln>
                      </wps:spPr>
                      <wps:txbx>
                        <w:txbxContent>
                          <w:p w:rsidR="00CB6F0B" w:rsidRPr="00CB6F0B" w:rsidRDefault="00CB6F0B" w:rsidP="00CB6F0B">
                            <w:pPr>
                              <w:rPr>
                                <w:sz w:val="20"/>
                                <w:szCs w:val="20"/>
                                <w:lang w:val="es-MX"/>
                              </w:rPr>
                            </w:pPr>
                            <w:proofErr w:type="gramStart"/>
                            <w:r w:rsidRPr="00CB6F0B">
                              <w:rPr>
                                <w:sz w:val="20"/>
                                <w:szCs w:val="20"/>
                              </w:rPr>
                              <w:t>Figure 2.</w:t>
                            </w:r>
                            <w:proofErr w:type="gramEnd"/>
                            <w:r w:rsidRPr="00CB6F0B">
                              <w:rPr>
                                <w:sz w:val="20"/>
                                <w:szCs w:val="20"/>
                              </w:rPr>
                              <w:t xml:space="preserve"> </w:t>
                            </w:r>
                            <w:r w:rsidRPr="00CB6F0B">
                              <w:rPr>
                                <w:sz w:val="20"/>
                                <w:szCs w:val="20"/>
                                <w:lang w:val="en-US"/>
                              </w:rPr>
                              <w:t xml:space="preserve">Women and girls make tortillas on the </w:t>
                            </w:r>
                            <w:proofErr w:type="spellStart"/>
                            <w:proofErr w:type="gramStart"/>
                            <w:r w:rsidRPr="00CB6F0B">
                              <w:rPr>
                                <w:i/>
                                <w:iCs/>
                                <w:sz w:val="20"/>
                                <w:szCs w:val="20"/>
                                <w:lang w:val="en-US"/>
                              </w:rPr>
                              <w:t>ko</w:t>
                            </w:r>
                            <w:proofErr w:type="spellEnd"/>
                            <w:proofErr w:type="gramEnd"/>
                            <w:r w:rsidRPr="00CB6F0B">
                              <w:rPr>
                                <w:i/>
                                <w:iCs/>
                                <w:sz w:val="20"/>
                                <w:szCs w:val="20"/>
                                <w:lang w:val="en-US"/>
                              </w:rPr>
                              <w:t xml:space="preserve"> ben</w:t>
                            </w:r>
                            <w:r w:rsidRPr="00CB6F0B">
                              <w:rPr>
                                <w:sz w:val="20"/>
                                <w:szCs w:val="20"/>
                                <w:lang w:val="en-US"/>
                              </w:rPr>
                              <w:t xml:space="preserve">, a sheet of metal placed on three stones above a wood fire. Dried corn </w:t>
                            </w:r>
                            <w:proofErr w:type="spellStart"/>
                            <w:r w:rsidRPr="00CB6F0B">
                              <w:rPr>
                                <w:sz w:val="20"/>
                                <w:szCs w:val="20"/>
                                <w:lang w:val="en-US"/>
                              </w:rPr>
                              <w:t>kernals</w:t>
                            </w:r>
                            <w:proofErr w:type="spellEnd"/>
                            <w:r w:rsidRPr="00CB6F0B">
                              <w:rPr>
                                <w:sz w:val="20"/>
                                <w:szCs w:val="20"/>
                                <w:lang w:val="en-US"/>
                              </w:rPr>
                              <w:t xml:space="preserve"> are ground to a flour, mixed with calcium carbonate, and then boiled to a paste-like consistency. The resulting mixture is dough called </w:t>
                            </w:r>
                            <w:r w:rsidRPr="00CB6F0B">
                              <w:rPr>
                                <w:i/>
                                <w:iCs/>
                                <w:sz w:val="20"/>
                                <w:szCs w:val="20"/>
                                <w:lang w:val="en-US"/>
                              </w:rPr>
                              <w:t xml:space="preserve">masa </w:t>
                            </w:r>
                            <w:proofErr w:type="spellStart"/>
                            <w:r w:rsidRPr="00CB6F0B">
                              <w:rPr>
                                <w:i/>
                                <w:iCs/>
                                <w:sz w:val="20"/>
                                <w:szCs w:val="20"/>
                                <w:lang w:val="en-US"/>
                              </w:rPr>
                              <w:t>harina</w:t>
                            </w:r>
                            <w:proofErr w:type="spellEnd"/>
                            <w:r w:rsidRPr="00CB6F0B">
                              <w:rPr>
                                <w:sz w:val="20"/>
                                <w:szCs w:val="20"/>
                                <w:lang w:val="en-US"/>
                              </w:rPr>
                              <w:t xml:space="preserve"> (pictured on the table). Small balls of </w:t>
                            </w:r>
                            <w:r w:rsidRPr="00CB6F0B">
                              <w:rPr>
                                <w:i/>
                                <w:iCs/>
                                <w:sz w:val="20"/>
                                <w:szCs w:val="20"/>
                                <w:lang w:val="en-US"/>
                              </w:rPr>
                              <w:t xml:space="preserve">masa </w:t>
                            </w:r>
                            <w:proofErr w:type="spellStart"/>
                            <w:r w:rsidRPr="00CB6F0B">
                              <w:rPr>
                                <w:i/>
                                <w:iCs/>
                                <w:sz w:val="20"/>
                                <w:szCs w:val="20"/>
                                <w:lang w:val="en-US"/>
                              </w:rPr>
                              <w:t>harina</w:t>
                            </w:r>
                            <w:proofErr w:type="spellEnd"/>
                            <w:r w:rsidRPr="00CB6F0B">
                              <w:rPr>
                                <w:sz w:val="20"/>
                                <w:szCs w:val="20"/>
                                <w:lang w:val="en-US"/>
                              </w:rPr>
                              <w:t xml:space="preserve"> are hand-patted into disks that are cooked. The tortilla is the most commonly eaten food item of the Maya and of all Mexicans. </w:t>
                            </w:r>
                            <w:proofErr w:type="spellStart"/>
                            <w:r w:rsidRPr="00CB6F0B">
                              <w:rPr>
                                <w:sz w:val="20"/>
                                <w:szCs w:val="20"/>
                                <w:lang w:val="es-MX"/>
                              </w:rPr>
                              <w:t>Photographer</w:t>
                            </w:r>
                            <w:proofErr w:type="spellEnd"/>
                            <w:r w:rsidRPr="00CB6F0B">
                              <w:rPr>
                                <w:sz w:val="20"/>
                                <w:szCs w:val="20"/>
                                <w:lang w:val="es-MX"/>
                              </w:rPr>
                              <w:t xml:space="preserve">: Miguel Cetina. </w:t>
                            </w:r>
                            <w:proofErr w:type="spellStart"/>
                            <w:r w:rsidRPr="00CB6F0B">
                              <w:rPr>
                                <w:sz w:val="20"/>
                                <w:szCs w:val="20"/>
                                <w:lang w:val="es-MX"/>
                              </w:rPr>
                              <w:t>Location</w:t>
                            </w:r>
                            <w:proofErr w:type="spellEnd"/>
                            <w:r w:rsidRPr="00CB6F0B">
                              <w:rPr>
                                <w:sz w:val="20"/>
                                <w:szCs w:val="20"/>
                                <w:lang w:val="es-MX"/>
                              </w:rPr>
                              <w:t xml:space="preserve">: San José Oriente, </w:t>
                            </w:r>
                            <w:proofErr w:type="spellStart"/>
                            <w:r w:rsidRPr="00CB6F0B">
                              <w:rPr>
                                <w:sz w:val="20"/>
                                <w:szCs w:val="20"/>
                                <w:lang w:val="es-MX"/>
                              </w:rPr>
                              <w:t>Yucatan</w:t>
                            </w:r>
                            <w:proofErr w:type="spellEnd"/>
                            <w:r w:rsidRPr="00CB6F0B">
                              <w:rPr>
                                <w:sz w:val="20"/>
                                <w:szCs w:val="20"/>
                                <w:lang w:val="es-MX"/>
                              </w:rPr>
                              <w:t xml:space="preserve">, </w:t>
                            </w:r>
                            <w:proofErr w:type="spellStart"/>
                            <w:r w:rsidRPr="00CB6F0B">
                              <w:rPr>
                                <w:sz w:val="20"/>
                                <w:szCs w:val="20"/>
                                <w:lang w:val="es-MX"/>
                              </w:rPr>
                              <w:t>Mexico</w:t>
                            </w:r>
                            <w:proofErr w:type="spellEnd"/>
                            <w:r w:rsidRPr="00CB6F0B">
                              <w:rPr>
                                <w:sz w:val="20"/>
                                <w:szCs w:val="20"/>
                                <w:lang w:val="es-MX"/>
                              </w:rPr>
                              <w:t>. Date: 2011</w:t>
                            </w:r>
                            <w:r w:rsidRPr="00CB6F0B">
                              <w:rPr>
                                <w:sz w:val="20"/>
                                <w:szCs w:val="20"/>
                                <w:lang w:val="es-MX"/>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5pt;margin-top:-11.9pt;width:447.65pt;height:9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">
                <v:textbox>
                  <w:txbxContent>
                    <w:p w:rsidR="00CB6F0B" w:rsidRPr="00CB6F0B" w:rsidRDefault="00CB6F0B" w:rsidP="00CB6F0B">
                      <w:pPr>
                        <w:rPr>
                          <w:sz w:val="20"/>
                          <w:szCs w:val="20"/>
                          <w:lang w:val="es-MX"/>
                        </w:rPr>
                      </w:pPr>
                      <w:proofErr w:type="gramStart"/>
                      <w:r w:rsidRPr="00CB6F0B">
                        <w:rPr>
                          <w:sz w:val="20"/>
                          <w:szCs w:val="20"/>
                        </w:rPr>
                        <w:t>Figure 2.</w:t>
                      </w:r>
                      <w:proofErr w:type="gramEnd"/>
                      <w:r w:rsidRPr="00CB6F0B">
                        <w:rPr>
                          <w:sz w:val="20"/>
                          <w:szCs w:val="20"/>
                        </w:rPr>
                        <w:t xml:space="preserve"> </w:t>
                      </w:r>
                      <w:r w:rsidRPr="00CB6F0B">
                        <w:rPr>
                          <w:sz w:val="20"/>
                          <w:szCs w:val="20"/>
                          <w:lang w:val="en-US"/>
                        </w:rPr>
                        <w:t xml:space="preserve">Women and girls make tortillas on the </w:t>
                      </w:r>
                      <w:proofErr w:type="spellStart"/>
                      <w:proofErr w:type="gramStart"/>
                      <w:r w:rsidRPr="00CB6F0B">
                        <w:rPr>
                          <w:i/>
                          <w:iCs/>
                          <w:sz w:val="20"/>
                          <w:szCs w:val="20"/>
                          <w:lang w:val="en-US"/>
                        </w:rPr>
                        <w:t>ko</w:t>
                      </w:r>
                      <w:proofErr w:type="spellEnd"/>
                      <w:proofErr w:type="gramEnd"/>
                      <w:r w:rsidRPr="00CB6F0B">
                        <w:rPr>
                          <w:i/>
                          <w:iCs/>
                          <w:sz w:val="20"/>
                          <w:szCs w:val="20"/>
                          <w:lang w:val="en-US"/>
                        </w:rPr>
                        <w:t xml:space="preserve"> ben</w:t>
                      </w:r>
                      <w:r w:rsidRPr="00CB6F0B">
                        <w:rPr>
                          <w:sz w:val="20"/>
                          <w:szCs w:val="20"/>
                          <w:lang w:val="en-US"/>
                        </w:rPr>
                        <w:t xml:space="preserve">, a sheet of metal placed on three stones above a wood fire. Dried corn </w:t>
                      </w:r>
                      <w:proofErr w:type="spellStart"/>
                      <w:r w:rsidRPr="00CB6F0B">
                        <w:rPr>
                          <w:sz w:val="20"/>
                          <w:szCs w:val="20"/>
                          <w:lang w:val="en-US"/>
                        </w:rPr>
                        <w:t>kernals</w:t>
                      </w:r>
                      <w:proofErr w:type="spellEnd"/>
                      <w:r w:rsidRPr="00CB6F0B">
                        <w:rPr>
                          <w:sz w:val="20"/>
                          <w:szCs w:val="20"/>
                          <w:lang w:val="en-US"/>
                        </w:rPr>
                        <w:t xml:space="preserve"> are ground to a flour, mixed with calcium carbonate, and then boiled to a paste-like consistency. The resulting mixture is dough called </w:t>
                      </w:r>
                      <w:r w:rsidRPr="00CB6F0B">
                        <w:rPr>
                          <w:i/>
                          <w:iCs/>
                          <w:sz w:val="20"/>
                          <w:szCs w:val="20"/>
                          <w:lang w:val="en-US"/>
                        </w:rPr>
                        <w:t xml:space="preserve">masa </w:t>
                      </w:r>
                      <w:proofErr w:type="spellStart"/>
                      <w:r w:rsidRPr="00CB6F0B">
                        <w:rPr>
                          <w:i/>
                          <w:iCs/>
                          <w:sz w:val="20"/>
                          <w:szCs w:val="20"/>
                          <w:lang w:val="en-US"/>
                        </w:rPr>
                        <w:t>harina</w:t>
                      </w:r>
                      <w:proofErr w:type="spellEnd"/>
                      <w:r w:rsidRPr="00CB6F0B">
                        <w:rPr>
                          <w:sz w:val="20"/>
                          <w:szCs w:val="20"/>
                          <w:lang w:val="en-US"/>
                        </w:rPr>
                        <w:t xml:space="preserve"> (pictured on the table). Small balls of </w:t>
                      </w:r>
                      <w:r w:rsidRPr="00CB6F0B">
                        <w:rPr>
                          <w:i/>
                          <w:iCs/>
                          <w:sz w:val="20"/>
                          <w:szCs w:val="20"/>
                          <w:lang w:val="en-US"/>
                        </w:rPr>
                        <w:t xml:space="preserve">masa </w:t>
                      </w:r>
                      <w:proofErr w:type="spellStart"/>
                      <w:r w:rsidRPr="00CB6F0B">
                        <w:rPr>
                          <w:i/>
                          <w:iCs/>
                          <w:sz w:val="20"/>
                          <w:szCs w:val="20"/>
                          <w:lang w:val="en-US"/>
                        </w:rPr>
                        <w:t>harina</w:t>
                      </w:r>
                      <w:proofErr w:type="spellEnd"/>
                      <w:r w:rsidRPr="00CB6F0B">
                        <w:rPr>
                          <w:sz w:val="20"/>
                          <w:szCs w:val="20"/>
                          <w:lang w:val="en-US"/>
                        </w:rPr>
                        <w:t xml:space="preserve"> are hand-patted into disks that are cooked. The tortilla is the most commonly eaten food item of the Maya and of all Mexicans. </w:t>
                      </w:r>
                      <w:proofErr w:type="spellStart"/>
                      <w:r w:rsidRPr="00CB6F0B">
                        <w:rPr>
                          <w:sz w:val="20"/>
                          <w:szCs w:val="20"/>
                          <w:lang w:val="es-MX"/>
                        </w:rPr>
                        <w:t>Photographer</w:t>
                      </w:r>
                      <w:proofErr w:type="spellEnd"/>
                      <w:r w:rsidRPr="00CB6F0B">
                        <w:rPr>
                          <w:sz w:val="20"/>
                          <w:szCs w:val="20"/>
                          <w:lang w:val="es-MX"/>
                        </w:rPr>
                        <w:t xml:space="preserve">: Miguel Cetina. </w:t>
                      </w:r>
                      <w:proofErr w:type="spellStart"/>
                      <w:r w:rsidRPr="00CB6F0B">
                        <w:rPr>
                          <w:sz w:val="20"/>
                          <w:szCs w:val="20"/>
                          <w:lang w:val="es-MX"/>
                        </w:rPr>
                        <w:t>Location</w:t>
                      </w:r>
                      <w:proofErr w:type="spellEnd"/>
                      <w:r w:rsidRPr="00CB6F0B">
                        <w:rPr>
                          <w:sz w:val="20"/>
                          <w:szCs w:val="20"/>
                          <w:lang w:val="es-MX"/>
                        </w:rPr>
                        <w:t xml:space="preserve">: San José Oriente, </w:t>
                      </w:r>
                      <w:proofErr w:type="spellStart"/>
                      <w:r w:rsidRPr="00CB6F0B">
                        <w:rPr>
                          <w:sz w:val="20"/>
                          <w:szCs w:val="20"/>
                          <w:lang w:val="es-MX"/>
                        </w:rPr>
                        <w:t>Yucatan</w:t>
                      </w:r>
                      <w:proofErr w:type="spellEnd"/>
                      <w:r w:rsidRPr="00CB6F0B">
                        <w:rPr>
                          <w:sz w:val="20"/>
                          <w:szCs w:val="20"/>
                          <w:lang w:val="es-MX"/>
                        </w:rPr>
                        <w:t xml:space="preserve">, </w:t>
                      </w:r>
                      <w:proofErr w:type="spellStart"/>
                      <w:r w:rsidRPr="00CB6F0B">
                        <w:rPr>
                          <w:sz w:val="20"/>
                          <w:szCs w:val="20"/>
                          <w:lang w:val="es-MX"/>
                        </w:rPr>
                        <w:t>Mexico</w:t>
                      </w:r>
                      <w:proofErr w:type="spellEnd"/>
                      <w:r w:rsidRPr="00CB6F0B">
                        <w:rPr>
                          <w:sz w:val="20"/>
                          <w:szCs w:val="20"/>
                          <w:lang w:val="es-MX"/>
                        </w:rPr>
                        <w:t>. Date: 2011</w:t>
                      </w:r>
                      <w:r w:rsidRPr="00CB6F0B">
                        <w:rPr>
                          <w:sz w:val="20"/>
                          <w:szCs w:val="20"/>
                          <w:lang w:val="es-MX"/>
                        </w:rPr>
                        <w:br/>
                      </w:r>
                    </w:p>
                  </w:txbxContent>
                </v:textbox>
              </v:shape>
            </w:pict>
          </mc:Fallback>
        </mc:AlternateContent>
      </w:r>
    </w:p>
    <w:p w:rsidR="000F410E" w:rsidRPr="00A71A68" w:rsidRDefault="00B856A5" w:rsidP="00A71A68">
      <w:pPr>
        <w:rPr>
          <w:rFonts w:ascii="Garamond" w:hAnsi="Garamond"/>
          <w:sz w:val="22"/>
          <w:szCs w:val="22"/>
        </w:rPr>
      </w:pPr>
      <w:r w:rsidRPr="005E7AA7">
        <w:rPr>
          <w:rFonts w:ascii="Garamond" w:hAnsi="Garamond"/>
          <w:bCs/>
          <w:sz w:val="22"/>
          <w:szCs w:val="22"/>
          <w:lang w:val="en-US"/>
        </w:rPr>
        <w:lastRenderedPageBreak/>
        <w:t>Other characteristics</w:t>
      </w:r>
      <w:r w:rsidR="009E6EEA" w:rsidRPr="005E7AA7">
        <w:rPr>
          <w:rFonts w:ascii="Garamond" w:hAnsi="Garamond"/>
          <w:bCs/>
          <w:sz w:val="22"/>
          <w:szCs w:val="22"/>
          <w:lang w:val="en-US"/>
        </w:rPr>
        <w:t xml:space="preserve"> </w:t>
      </w:r>
      <w:r w:rsidRPr="005E7AA7">
        <w:rPr>
          <w:rFonts w:ascii="Garamond" w:hAnsi="Garamond"/>
          <w:bCs/>
          <w:sz w:val="22"/>
          <w:szCs w:val="22"/>
          <w:lang w:val="en-US"/>
        </w:rPr>
        <w:t>of traditional Maya culture are social behavior relating</w:t>
      </w:r>
      <w:r w:rsidR="009E6EEA" w:rsidRPr="005E7AA7">
        <w:rPr>
          <w:rFonts w:ascii="Garamond" w:hAnsi="Garamond"/>
          <w:bCs/>
          <w:sz w:val="22"/>
          <w:szCs w:val="22"/>
          <w:lang w:val="en-US"/>
        </w:rPr>
        <w:t xml:space="preserve"> </w:t>
      </w:r>
      <w:r w:rsidRPr="005E7AA7">
        <w:rPr>
          <w:rFonts w:ascii="Garamond" w:hAnsi="Garamond"/>
          <w:bCs/>
          <w:sz w:val="22"/>
          <w:szCs w:val="22"/>
          <w:lang w:val="en-US"/>
        </w:rPr>
        <w:t>to household economy, endogamy (marriage within the</w:t>
      </w:r>
      <w:r w:rsidR="000F410E" w:rsidRPr="005E7AA7">
        <w:rPr>
          <w:rFonts w:ascii="Garamond" w:hAnsi="Garamond"/>
          <w:bCs/>
          <w:sz w:val="22"/>
          <w:szCs w:val="22"/>
          <w:lang w:val="en-US"/>
        </w:rPr>
        <w:t xml:space="preserve"> community), collective religious practice, use of the Maya</w:t>
      </w:r>
      <w:r w:rsidR="009E6EEA" w:rsidRPr="005E7AA7">
        <w:rPr>
          <w:rFonts w:ascii="Garamond" w:hAnsi="Garamond"/>
          <w:bCs/>
          <w:sz w:val="22"/>
          <w:szCs w:val="22"/>
          <w:lang w:val="en-US"/>
        </w:rPr>
        <w:t xml:space="preserve"> </w:t>
      </w:r>
      <w:r w:rsidR="000F410E" w:rsidRPr="005E7AA7">
        <w:rPr>
          <w:rFonts w:ascii="Garamond" w:hAnsi="Garamond"/>
          <w:bCs/>
          <w:sz w:val="22"/>
          <w:szCs w:val="22"/>
          <w:lang w:val="en-US"/>
        </w:rPr>
        <w:t>calendar, and communication in a Maya language. Some</w:t>
      </w:r>
      <w:r w:rsidR="009E6EEA" w:rsidRPr="005E7AA7">
        <w:rPr>
          <w:rFonts w:ascii="Garamond" w:hAnsi="Garamond"/>
          <w:bCs/>
          <w:sz w:val="22"/>
          <w:szCs w:val="22"/>
          <w:lang w:val="en-US"/>
        </w:rPr>
        <w:t xml:space="preserve"> </w:t>
      </w:r>
      <w:r w:rsidR="000F410E" w:rsidRPr="005E7AA7">
        <w:rPr>
          <w:rFonts w:ascii="Garamond" w:hAnsi="Garamond"/>
          <w:bCs/>
          <w:sz w:val="22"/>
          <w:szCs w:val="22"/>
          <w:lang w:val="en-US"/>
        </w:rPr>
        <w:t>aspects of modern-day traditional Maya culture predate the</w:t>
      </w:r>
      <w:r w:rsidR="009E6EEA" w:rsidRPr="005E7AA7">
        <w:rPr>
          <w:rFonts w:ascii="Garamond" w:hAnsi="Garamond"/>
          <w:bCs/>
          <w:sz w:val="22"/>
          <w:szCs w:val="22"/>
          <w:lang w:val="en-US"/>
        </w:rPr>
        <w:t xml:space="preserve"> </w:t>
      </w:r>
      <w:r w:rsidR="000F410E" w:rsidRPr="005E7AA7">
        <w:rPr>
          <w:rFonts w:ascii="Garamond" w:hAnsi="Garamond"/>
          <w:bCs/>
          <w:sz w:val="22"/>
          <w:szCs w:val="22"/>
          <w:lang w:val="en-US"/>
        </w:rPr>
        <w:t>Conquest; others are postcolonial syncretic blends between</w:t>
      </w:r>
      <w:r w:rsidR="009E6EEA" w:rsidRPr="005E7AA7">
        <w:rPr>
          <w:rFonts w:ascii="Garamond" w:hAnsi="Garamond"/>
          <w:bCs/>
          <w:sz w:val="22"/>
          <w:szCs w:val="22"/>
          <w:lang w:val="en-US"/>
        </w:rPr>
        <w:t xml:space="preserve"> </w:t>
      </w:r>
      <w:r w:rsidR="000F410E" w:rsidRPr="005E7AA7">
        <w:rPr>
          <w:rFonts w:ascii="Garamond" w:hAnsi="Garamond"/>
          <w:bCs/>
          <w:sz w:val="22"/>
          <w:szCs w:val="22"/>
          <w:lang w:val="en-US"/>
        </w:rPr>
        <w:t>various Maya and Spanish social-religious practices.</w:t>
      </w:r>
      <w:r w:rsidR="00473EFB" w:rsidRPr="005E7AA7">
        <w:rPr>
          <w:rFonts w:ascii="Garamond" w:hAnsi="Garamond"/>
          <w:bCs/>
          <w:sz w:val="22"/>
          <w:szCs w:val="22"/>
          <w:lang w:val="en-US"/>
        </w:rPr>
        <w:t xml:space="preserve"> New practices are derived from globalization, such as use of mobile phones, the internet, and drinking Pepsi-Cola and Coca-Cola.</w:t>
      </w:r>
    </w:p>
    <w:p w:rsidR="00C64E1A" w:rsidRPr="005E7AA7" w:rsidRDefault="00AF6912" w:rsidP="00C64E1A">
      <w:pPr>
        <w:rPr>
          <w:rFonts w:ascii="Garamond" w:hAnsi="Garamond"/>
          <w:bCs/>
          <w:sz w:val="22"/>
          <w:szCs w:val="22"/>
          <w:lang w:val="en-US"/>
        </w:rPr>
      </w:pPr>
      <w:r w:rsidRPr="005E7AA7">
        <w:rPr>
          <w:rFonts w:ascii="Garamond" w:hAnsi="Garamond"/>
          <w:bCs/>
          <w:sz w:val="22"/>
          <w:szCs w:val="22"/>
          <w:lang w:val="en-US"/>
        </w:rPr>
        <w:t>The Maya of Merida</w:t>
      </w:r>
    </w:p>
    <w:p w:rsidR="00324035" w:rsidRPr="005E7AA7" w:rsidRDefault="00112D13" w:rsidP="00C03F37">
      <w:pPr>
        <w:rPr>
          <w:rFonts w:ascii="Garamond" w:hAnsi="Garamond"/>
          <w:bCs/>
          <w:sz w:val="22"/>
          <w:szCs w:val="22"/>
          <w:lang w:val="en-US"/>
        </w:rPr>
      </w:pPr>
      <w:r w:rsidRPr="005E7AA7">
        <w:rPr>
          <w:rFonts w:ascii="Garamond" w:hAnsi="Garamond"/>
          <w:bCs/>
          <w:sz w:val="22"/>
          <w:szCs w:val="22"/>
          <w:lang w:val="en-US"/>
        </w:rPr>
        <w:t>Since the European Conquest, the Maya of Yucatan have experienced, and continue to experience, adverse socioeconomic conditions</w:t>
      </w:r>
      <w:r w:rsidR="007E14E0" w:rsidRPr="005E7AA7">
        <w:rPr>
          <w:rFonts w:ascii="Garamond" w:hAnsi="Garamond"/>
          <w:bCs/>
          <w:sz w:val="22"/>
          <w:szCs w:val="22"/>
          <w:lang w:val="en-US"/>
        </w:rPr>
        <w:t>, including</w:t>
      </w:r>
      <w:r w:rsidRPr="005E7AA7">
        <w:rPr>
          <w:rFonts w:ascii="Garamond" w:hAnsi="Garamond"/>
          <w:bCs/>
          <w:sz w:val="22"/>
          <w:szCs w:val="22"/>
          <w:lang w:val="en-US"/>
        </w:rPr>
        <w:t xml:space="preserve"> marginalization and poverty </w:t>
      </w:r>
      <w:r w:rsidR="00B86957"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"author" : [ { "dropping-particle" : "", "family" : "Siniarska", "given" : "Ania", "non-dropping-particle" : "", "parse-names" : false, "suffix" : "" }, { "dropping-particle" : "", "family" : "Wolanski", "given" : "Napoleon", "non-dropping-particle" : "", "parse-names" : false, "suffix" : "" } ], "container-title" : "International Journal of Anthropology", "id" : "ITEM-1", "issue" : "4", "issued" : { "date-parts" : [ [ "1999" ] ] }, "page" : "259-288", "title" : "Living Conditions and Growth of Maya Indian and Non-Maya Boys from Yucatan in 1993 in Comparison with Other Studies", "type" : "article-journal", "volume" : "14" }, "uris" : [ "http://www.mendeley.com/documents/?uuid=de04ce6c-a3ca-466d-aa3a-bb2b72dbcaf7" ] }, { "id" : "ITEM-2", "itemData" : { "author" : [ { "dropping-particle" : "", "family" : "Bracamonte y Sosa", "given" : "P", "non-dropping-particle" : "", "parse-names" : false, "suffix" : "" }, { "dropping-particle" : "", "family" : "Lizama Quijano", "given" : "J", "non-dropping-particle" : "", "parse-names" : false, "suffix" : "" } ], "container-title" : "Desacatos", "id" : "ITEM-2", "issued" : { "date-parts" : [ [ "2003" ] ] }, "page" : "83-98", "title" : "Marginalidad ind\u00edgena: una perspectiva historica de Yucatan.", "type" : "article-journal", "volume" : "13" }, "uris" : [ "http://www.mendeley.com/documents/?uuid=c2eecc21-d641-4aaf-9dfa-e24ee7559056" ] } ], "mendeley" : { "previouslyFormattedCitation" : "(Siniarska and Wolanski, 1999; Bracamonte y Sosa and Lizama Quijano, 2003)" }, "properties" : { "noteIndex" : 0 }, "schema" : "https://github.com/citation-style-language/schema/raw/master/csl-citation.json" }</w:instrText>
      </w:r>
      <w:r w:rsidR="00B86957" w:rsidRPr="005E7AA7">
        <w:rPr>
          <w:rFonts w:ascii="Garamond" w:hAnsi="Garamond"/>
          <w:bCs/>
          <w:sz w:val="22"/>
          <w:szCs w:val="22"/>
          <w:lang w:val="en-US"/>
        </w:rPr>
        <w:fldChar w:fldCharType="separate"/>
      </w:r>
      <w:r w:rsidR="00C03F37" w:rsidRPr="005E7AA7">
        <w:rPr>
          <w:rFonts w:ascii="Garamond" w:hAnsi="Garamond"/>
          <w:bCs/>
          <w:noProof/>
          <w:sz w:val="22"/>
          <w:szCs w:val="22"/>
          <w:lang w:val="en-US"/>
        </w:rPr>
        <w:t>(Siniarska and Wolanski, 1999; Bracamonte y Sosa and Lizama Quijano, 2003)</w:t>
      </w:r>
      <w:r w:rsidR="00B86957" w:rsidRPr="005E7AA7">
        <w:rPr>
          <w:rFonts w:ascii="Garamond" w:hAnsi="Garamond"/>
          <w:bCs/>
          <w:sz w:val="22"/>
          <w:szCs w:val="22"/>
          <w:lang w:val="en-US"/>
        </w:rPr>
        <w:fldChar w:fldCharType="end"/>
      </w:r>
      <w:r w:rsidRPr="005E7AA7">
        <w:rPr>
          <w:rFonts w:ascii="Garamond" w:hAnsi="Garamond"/>
          <w:bCs/>
          <w:sz w:val="22"/>
          <w:szCs w:val="22"/>
          <w:lang w:val="en-US"/>
        </w:rPr>
        <w:t xml:space="preserve">. </w:t>
      </w:r>
      <w:r w:rsidR="007E14E0" w:rsidRPr="005E7AA7">
        <w:rPr>
          <w:rFonts w:ascii="Garamond" w:hAnsi="Garamond"/>
          <w:bCs/>
          <w:sz w:val="22"/>
          <w:szCs w:val="22"/>
          <w:lang w:val="en-US"/>
        </w:rPr>
        <w:t>During much of the 19</w:t>
      </w:r>
      <w:r w:rsidR="007E14E0" w:rsidRPr="005E7AA7">
        <w:rPr>
          <w:rFonts w:ascii="Garamond" w:hAnsi="Garamond"/>
          <w:bCs/>
          <w:sz w:val="22"/>
          <w:szCs w:val="22"/>
          <w:vertAlign w:val="superscript"/>
          <w:lang w:val="en-US"/>
        </w:rPr>
        <w:t>th</w:t>
      </w:r>
      <w:r w:rsidR="007E14E0" w:rsidRPr="005E7AA7">
        <w:rPr>
          <w:rFonts w:ascii="Garamond" w:hAnsi="Garamond"/>
          <w:bCs/>
          <w:sz w:val="22"/>
          <w:szCs w:val="22"/>
          <w:lang w:val="en-US"/>
        </w:rPr>
        <w:t xml:space="preserve"> and 20</w:t>
      </w:r>
      <w:r w:rsidR="007E14E0" w:rsidRPr="005E7AA7">
        <w:rPr>
          <w:rFonts w:ascii="Garamond" w:hAnsi="Garamond"/>
          <w:bCs/>
          <w:sz w:val="22"/>
          <w:szCs w:val="22"/>
          <w:vertAlign w:val="superscript"/>
          <w:lang w:val="en-US"/>
        </w:rPr>
        <w:t>th</w:t>
      </w:r>
      <w:r w:rsidR="007E14E0" w:rsidRPr="005E7AA7">
        <w:rPr>
          <w:rFonts w:ascii="Garamond" w:hAnsi="Garamond"/>
          <w:bCs/>
          <w:sz w:val="22"/>
          <w:szCs w:val="22"/>
          <w:lang w:val="en-US"/>
        </w:rPr>
        <w:t xml:space="preserve"> Centuries the Maya lived in rural areas of the Yucatan and worked in t</w:t>
      </w:r>
      <w:r w:rsidRPr="005E7AA7">
        <w:rPr>
          <w:rFonts w:ascii="Garamond" w:hAnsi="Garamond"/>
          <w:bCs/>
          <w:sz w:val="22"/>
          <w:szCs w:val="22"/>
          <w:lang w:val="en-US"/>
        </w:rPr>
        <w:t>he sisal agroindustry</w:t>
      </w:r>
      <w:r w:rsidR="007E14E0" w:rsidRPr="005E7AA7">
        <w:rPr>
          <w:rFonts w:ascii="Garamond" w:hAnsi="Garamond"/>
          <w:bCs/>
          <w:sz w:val="22"/>
          <w:szCs w:val="22"/>
          <w:lang w:val="en-US"/>
        </w:rPr>
        <w:t xml:space="preserve">. Sisal </w:t>
      </w:r>
      <w:r w:rsidR="00CD30A2" w:rsidRPr="005E7AA7">
        <w:rPr>
          <w:rFonts w:ascii="Garamond" w:hAnsi="Garamond"/>
          <w:bCs/>
          <w:sz w:val="22"/>
          <w:szCs w:val="22"/>
          <w:lang w:val="en-US"/>
        </w:rPr>
        <w:t>(</w:t>
      </w:r>
      <w:r w:rsidR="00CD30A2" w:rsidRPr="005E7AA7">
        <w:rPr>
          <w:rFonts w:ascii="Garamond" w:hAnsi="Garamond"/>
          <w:bCs/>
          <w:i/>
          <w:sz w:val="22"/>
          <w:szCs w:val="22"/>
          <w:lang w:val="en-US"/>
        </w:rPr>
        <w:t xml:space="preserve">Agave </w:t>
      </w:r>
      <w:proofErr w:type="spellStart"/>
      <w:r w:rsidR="00CD30A2" w:rsidRPr="005E7AA7">
        <w:rPr>
          <w:rFonts w:ascii="Garamond" w:hAnsi="Garamond"/>
          <w:bCs/>
          <w:i/>
          <w:sz w:val="22"/>
          <w:szCs w:val="22"/>
          <w:lang w:val="en-US"/>
        </w:rPr>
        <w:t>sisalana</w:t>
      </w:r>
      <w:proofErr w:type="spellEnd"/>
      <w:r w:rsidR="00CD30A2" w:rsidRPr="005E7AA7">
        <w:rPr>
          <w:rFonts w:ascii="Garamond" w:hAnsi="Garamond"/>
          <w:bCs/>
          <w:sz w:val="22"/>
          <w:szCs w:val="22"/>
          <w:lang w:val="en-US"/>
        </w:rPr>
        <w:t xml:space="preserve">) </w:t>
      </w:r>
      <w:r w:rsidR="007E14E0" w:rsidRPr="005E7AA7">
        <w:rPr>
          <w:rFonts w:ascii="Garamond" w:hAnsi="Garamond"/>
          <w:bCs/>
          <w:sz w:val="22"/>
          <w:szCs w:val="22"/>
          <w:lang w:val="en-US"/>
        </w:rPr>
        <w:t xml:space="preserve">production was the primary industry of the region. Sisal fibers were used to make </w:t>
      </w:r>
      <w:r w:rsidR="00CD30A2" w:rsidRPr="005E7AA7">
        <w:rPr>
          <w:rFonts w:ascii="Garamond" w:hAnsi="Garamond"/>
          <w:bCs/>
          <w:sz w:val="22"/>
          <w:szCs w:val="22"/>
          <w:lang w:val="en-US"/>
        </w:rPr>
        <w:t>rope and twine, paper, cloth, mattresses, wall coverings, carpets,</w:t>
      </w:r>
      <w:r w:rsidRPr="005E7AA7">
        <w:rPr>
          <w:rFonts w:ascii="Garamond" w:hAnsi="Garamond"/>
          <w:bCs/>
          <w:sz w:val="22"/>
          <w:szCs w:val="22"/>
          <w:lang w:val="en-US"/>
        </w:rPr>
        <w:t xml:space="preserve"> </w:t>
      </w:r>
      <w:r w:rsidR="00CD30A2" w:rsidRPr="005E7AA7">
        <w:rPr>
          <w:rFonts w:ascii="Garamond" w:hAnsi="Garamond"/>
          <w:bCs/>
          <w:sz w:val="22"/>
          <w:szCs w:val="22"/>
          <w:lang w:val="en-US"/>
        </w:rPr>
        <w:t xml:space="preserve">and other products. </w:t>
      </w:r>
      <w:r w:rsidR="007221E2" w:rsidRPr="005E7AA7">
        <w:rPr>
          <w:rFonts w:ascii="Garamond" w:hAnsi="Garamond"/>
          <w:bCs/>
          <w:sz w:val="22"/>
          <w:szCs w:val="22"/>
          <w:lang w:val="en-US"/>
        </w:rPr>
        <w:t>Maya sisal workers lived on the sisal plantation</w:t>
      </w:r>
      <w:r w:rsidR="00EB2F8A" w:rsidRPr="005E7AA7">
        <w:rPr>
          <w:rFonts w:ascii="Garamond" w:hAnsi="Garamond"/>
          <w:bCs/>
          <w:sz w:val="22"/>
          <w:szCs w:val="22"/>
          <w:lang w:val="en-US"/>
        </w:rPr>
        <w:t>s, often</w:t>
      </w:r>
      <w:r w:rsidR="007221E2" w:rsidRPr="005E7AA7">
        <w:rPr>
          <w:rFonts w:ascii="Garamond" w:hAnsi="Garamond"/>
          <w:bCs/>
          <w:sz w:val="22"/>
          <w:szCs w:val="22"/>
          <w:lang w:val="en-US"/>
        </w:rPr>
        <w:t xml:space="preserve"> under terrible conditions. </w:t>
      </w:r>
      <w:r w:rsidR="004648CF" w:rsidRPr="005E7AA7">
        <w:rPr>
          <w:rFonts w:ascii="Garamond" w:hAnsi="Garamond"/>
          <w:bCs/>
          <w:sz w:val="22"/>
          <w:szCs w:val="22"/>
          <w:lang w:val="en-US"/>
        </w:rPr>
        <w:t>During fieldwork in 1978 an elderly Maya man told one of us (FD) that the sisal workers called the plantation era 'the age of slavery.' There was l</w:t>
      </w:r>
      <w:r w:rsidR="007221E2" w:rsidRPr="005E7AA7">
        <w:rPr>
          <w:rFonts w:ascii="Garamond" w:hAnsi="Garamond"/>
          <w:bCs/>
          <w:sz w:val="22"/>
          <w:szCs w:val="22"/>
          <w:lang w:val="en-US"/>
        </w:rPr>
        <w:t>ocal resistance</w:t>
      </w:r>
      <w:r w:rsidR="00EB2F8A" w:rsidRPr="005E7AA7">
        <w:rPr>
          <w:rFonts w:ascii="Garamond" w:hAnsi="Garamond"/>
          <w:bCs/>
          <w:sz w:val="22"/>
          <w:szCs w:val="22"/>
          <w:lang w:val="en-US"/>
        </w:rPr>
        <w:t xml:space="preserve"> </w:t>
      </w:r>
      <w:r w:rsidR="004648CF" w:rsidRPr="005E7AA7">
        <w:rPr>
          <w:rFonts w:ascii="Garamond" w:hAnsi="Garamond"/>
          <w:bCs/>
          <w:sz w:val="22"/>
          <w:szCs w:val="22"/>
          <w:lang w:val="en-US"/>
        </w:rPr>
        <w:t xml:space="preserve">and violent protest by the Maya </w:t>
      </w:r>
      <w:r w:rsidR="00EB2F8A" w:rsidRPr="005E7AA7">
        <w:rPr>
          <w:rFonts w:ascii="Garamond" w:hAnsi="Garamond"/>
          <w:bCs/>
          <w:sz w:val="22"/>
          <w:szCs w:val="22"/>
          <w:lang w:val="en-US"/>
        </w:rPr>
        <w:t>in the 19</w:t>
      </w:r>
      <w:r w:rsidR="00EB2F8A" w:rsidRPr="005E7AA7">
        <w:rPr>
          <w:rFonts w:ascii="Garamond" w:hAnsi="Garamond"/>
          <w:bCs/>
          <w:sz w:val="22"/>
          <w:szCs w:val="22"/>
          <w:vertAlign w:val="superscript"/>
          <w:lang w:val="en-US"/>
        </w:rPr>
        <w:t>th</w:t>
      </w:r>
      <w:r w:rsidR="00EB2F8A" w:rsidRPr="005E7AA7">
        <w:rPr>
          <w:rFonts w:ascii="Garamond" w:hAnsi="Garamond"/>
          <w:bCs/>
          <w:sz w:val="22"/>
          <w:szCs w:val="22"/>
          <w:lang w:val="en-US"/>
        </w:rPr>
        <w:t xml:space="preserve"> Century,</w:t>
      </w:r>
      <w:r w:rsidR="007221E2" w:rsidRPr="005E7AA7">
        <w:rPr>
          <w:rFonts w:ascii="Garamond" w:hAnsi="Garamond"/>
          <w:bCs/>
          <w:sz w:val="22"/>
          <w:szCs w:val="22"/>
          <w:lang w:val="en-US"/>
        </w:rPr>
        <w:t xml:space="preserve"> </w:t>
      </w:r>
      <w:r w:rsidR="004648CF" w:rsidRPr="005E7AA7">
        <w:rPr>
          <w:rFonts w:ascii="Garamond" w:hAnsi="Garamond"/>
          <w:bCs/>
          <w:sz w:val="22"/>
          <w:szCs w:val="22"/>
          <w:lang w:val="en-US"/>
        </w:rPr>
        <w:t xml:space="preserve">but it was </w:t>
      </w:r>
      <w:r w:rsidR="007221E2" w:rsidRPr="005E7AA7">
        <w:rPr>
          <w:rFonts w:ascii="Garamond" w:hAnsi="Garamond"/>
          <w:bCs/>
          <w:sz w:val="22"/>
          <w:szCs w:val="22"/>
          <w:lang w:val="en-US"/>
        </w:rPr>
        <w:t>the Mexican Revolution of the early 20</w:t>
      </w:r>
      <w:r w:rsidR="007221E2" w:rsidRPr="005E7AA7">
        <w:rPr>
          <w:rFonts w:ascii="Garamond" w:hAnsi="Garamond"/>
          <w:bCs/>
          <w:sz w:val="22"/>
          <w:szCs w:val="22"/>
          <w:vertAlign w:val="superscript"/>
          <w:lang w:val="en-US"/>
        </w:rPr>
        <w:t>th</w:t>
      </w:r>
      <w:r w:rsidR="007221E2" w:rsidRPr="005E7AA7">
        <w:rPr>
          <w:rFonts w:ascii="Garamond" w:hAnsi="Garamond"/>
          <w:bCs/>
          <w:sz w:val="22"/>
          <w:szCs w:val="22"/>
          <w:lang w:val="en-US"/>
        </w:rPr>
        <w:t xml:space="preserve"> Century and the global economic depression of 1929 </w:t>
      </w:r>
      <w:r w:rsidR="004648CF" w:rsidRPr="005E7AA7">
        <w:rPr>
          <w:rFonts w:ascii="Garamond" w:hAnsi="Garamond"/>
          <w:bCs/>
          <w:sz w:val="22"/>
          <w:szCs w:val="22"/>
          <w:lang w:val="en-US"/>
        </w:rPr>
        <w:t xml:space="preserve">that </w:t>
      </w:r>
      <w:r w:rsidR="007221E2" w:rsidRPr="005E7AA7">
        <w:rPr>
          <w:rFonts w:ascii="Garamond" w:hAnsi="Garamond"/>
          <w:bCs/>
          <w:sz w:val="22"/>
          <w:szCs w:val="22"/>
          <w:lang w:val="en-US"/>
        </w:rPr>
        <w:t xml:space="preserve">destroyed much of the plantation system. </w:t>
      </w:r>
      <w:r w:rsidR="00CD30A2" w:rsidRPr="005E7AA7">
        <w:rPr>
          <w:rFonts w:ascii="Garamond" w:hAnsi="Garamond"/>
          <w:bCs/>
          <w:sz w:val="22"/>
          <w:szCs w:val="22"/>
          <w:lang w:val="en-US"/>
        </w:rPr>
        <w:t xml:space="preserve">Competition from </w:t>
      </w:r>
      <w:r w:rsidR="007221E2" w:rsidRPr="005E7AA7">
        <w:rPr>
          <w:rFonts w:ascii="Garamond" w:hAnsi="Garamond"/>
          <w:bCs/>
          <w:sz w:val="22"/>
          <w:szCs w:val="22"/>
          <w:lang w:val="en-US"/>
        </w:rPr>
        <w:t xml:space="preserve">less expensive </w:t>
      </w:r>
      <w:r w:rsidR="0061660B" w:rsidRPr="005E7AA7">
        <w:rPr>
          <w:rFonts w:ascii="Garamond" w:hAnsi="Garamond"/>
          <w:bCs/>
          <w:sz w:val="22"/>
          <w:szCs w:val="22"/>
          <w:lang w:val="en-US"/>
        </w:rPr>
        <w:t xml:space="preserve">sisal produced in Brazil and Africa and from other lower cost </w:t>
      </w:r>
      <w:r w:rsidR="007221E2" w:rsidRPr="005E7AA7">
        <w:rPr>
          <w:rFonts w:ascii="Garamond" w:hAnsi="Garamond"/>
          <w:bCs/>
          <w:sz w:val="22"/>
          <w:szCs w:val="22"/>
          <w:lang w:val="en-US"/>
        </w:rPr>
        <w:t>natural fibers</w:t>
      </w:r>
      <w:r w:rsidR="0061660B" w:rsidRPr="005E7AA7">
        <w:rPr>
          <w:rFonts w:ascii="Garamond" w:hAnsi="Garamond"/>
          <w:bCs/>
          <w:sz w:val="22"/>
          <w:szCs w:val="22"/>
          <w:lang w:val="en-US"/>
        </w:rPr>
        <w:t>,</w:t>
      </w:r>
      <w:r w:rsidR="007221E2" w:rsidRPr="005E7AA7">
        <w:rPr>
          <w:rFonts w:ascii="Garamond" w:hAnsi="Garamond"/>
          <w:bCs/>
          <w:sz w:val="22"/>
          <w:szCs w:val="22"/>
          <w:lang w:val="en-US"/>
        </w:rPr>
        <w:t xml:space="preserve"> and then </w:t>
      </w:r>
      <w:r w:rsidR="00CD30A2" w:rsidRPr="005E7AA7">
        <w:rPr>
          <w:rFonts w:ascii="Garamond" w:hAnsi="Garamond"/>
          <w:bCs/>
          <w:sz w:val="22"/>
          <w:szCs w:val="22"/>
          <w:lang w:val="en-US"/>
        </w:rPr>
        <w:t xml:space="preserve">synthetic fiber such as </w:t>
      </w:r>
      <w:r w:rsidR="009C62EE" w:rsidRPr="005E7AA7">
        <w:rPr>
          <w:rFonts w:ascii="Garamond" w:hAnsi="Garamond"/>
          <w:bCs/>
          <w:sz w:val="22"/>
          <w:szCs w:val="22"/>
          <w:lang w:val="en-US"/>
        </w:rPr>
        <w:t>polypropylene</w:t>
      </w:r>
      <w:r w:rsidR="00CD30A2" w:rsidRPr="005E7AA7">
        <w:rPr>
          <w:rFonts w:ascii="Garamond" w:hAnsi="Garamond"/>
          <w:bCs/>
          <w:sz w:val="22"/>
          <w:szCs w:val="22"/>
          <w:lang w:val="en-US"/>
        </w:rPr>
        <w:t xml:space="preserve">, </w:t>
      </w:r>
      <w:r w:rsidR="009C62EE" w:rsidRPr="005E7AA7">
        <w:rPr>
          <w:rFonts w:ascii="Garamond" w:hAnsi="Garamond"/>
          <w:bCs/>
          <w:sz w:val="22"/>
          <w:szCs w:val="22"/>
          <w:lang w:val="en-US"/>
        </w:rPr>
        <w:t xml:space="preserve">caused the </w:t>
      </w:r>
      <w:r w:rsidR="007221E2" w:rsidRPr="005E7AA7">
        <w:rPr>
          <w:rFonts w:ascii="Garamond" w:hAnsi="Garamond"/>
          <w:bCs/>
          <w:sz w:val="22"/>
          <w:szCs w:val="22"/>
          <w:lang w:val="en-US"/>
        </w:rPr>
        <w:t xml:space="preserve">Yucatan </w:t>
      </w:r>
      <w:r w:rsidR="009C62EE" w:rsidRPr="005E7AA7">
        <w:rPr>
          <w:rFonts w:ascii="Garamond" w:hAnsi="Garamond"/>
          <w:bCs/>
          <w:sz w:val="22"/>
          <w:szCs w:val="22"/>
          <w:lang w:val="en-US"/>
        </w:rPr>
        <w:t>sisal industry to</w:t>
      </w:r>
      <w:r w:rsidRPr="005E7AA7">
        <w:rPr>
          <w:rFonts w:ascii="Garamond" w:hAnsi="Garamond"/>
          <w:bCs/>
          <w:sz w:val="22"/>
          <w:szCs w:val="22"/>
          <w:lang w:val="en-US"/>
        </w:rPr>
        <w:t xml:space="preserve"> collapse in the 1980s. Since the collapse, migrants from rural Maya villages searching for jobs and new opportunities </w:t>
      </w:r>
      <w:r w:rsidR="009C62EE" w:rsidRPr="005E7AA7">
        <w:rPr>
          <w:rFonts w:ascii="Garamond" w:hAnsi="Garamond"/>
          <w:bCs/>
          <w:sz w:val="22"/>
          <w:szCs w:val="22"/>
          <w:lang w:val="en-US"/>
        </w:rPr>
        <w:t xml:space="preserve">have flooded into the city of Merida </w:t>
      </w:r>
      <w:r w:rsidR="00C03F37"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"author" : [ { "dropping-particle" : "", "family" : "Lizama Quijano", "given" : "J", "non-dropping-particle" : "", "parse-names" : false, "suffix" : "" } ], "id" : "ITEM-1", "issued" : { "date-parts" : [ [ "2012" ] ] }, "page" : "196", "publisher-place" : "Merida, MX", "title" : "El perfil Maya de la blanca M\u00e9rida", "type" : "report" }, "uris" : [ "http://www.mendeley.com/documents/?uuid=9fd3a7a6-68b4-491c-a4fe-857a75fa761c" ] } ], "mendeley" : { "previouslyFormattedCitation" : "(Lizama Quijano, 2012)" }, "properties" : { "noteIndex" : 0 }, "schema" : "https://github.com/citation-style-language/schema/raw/master/csl-citation.json" }</w:instrText>
      </w:r>
      <w:r w:rsidR="00C03F37" w:rsidRPr="005E7AA7">
        <w:rPr>
          <w:rFonts w:ascii="Garamond" w:hAnsi="Garamond"/>
          <w:bCs/>
          <w:sz w:val="22"/>
          <w:szCs w:val="22"/>
          <w:lang w:val="en-US"/>
        </w:rPr>
        <w:fldChar w:fldCharType="separate"/>
      </w:r>
      <w:r w:rsidR="00C03F37" w:rsidRPr="005E7AA7">
        <w:rPr>
          <w:rFonts w:ascii="Garamond" w:hAnsi="Garamond"/>
          <w:bCs/>
          <w:noProof/>
          <w:sz w:val="22"/>
          <w:szCs w:val="22"/>
          <w:lang w:val="en-US"/>
        </w:rPr>
        <w:t>(Lizama Quijano, 2012)</w:t>
      </w:r>
      <w:r w:rsidR="00C03F37" w:rsidRPr="005E7AA7">
        <w:rPr>
          <w:rFonts w:ascii="Garamond" w:hAnsi="Garamond"/>
          <w:bCs/>
          <w:sz w:val="22"/>
          <w:szCs w:val="22"/>
          <w:lang w:val="en-US"/>
        </w:rPr>
        <w:fldChar w:fldCharType="end"/>
      </w:r>
      <w:r w:rsidR="009C62EE" w:rsidRPr="005E7AA7">
        <w:rPr>
          <w:rFonts w:ascii="Garamond" w:hAnsi="Garamond"/>
          <w:bCs/>
          <w:sz w:val="22"/>
          <w:szCs w:val="22"/>
          <w:lang w:val="en-US"/>
        </w:rPr>
        <w:t xml:space="preserve"> or toward tourist resorts such as Cancun</w:t>
      </w:r>
      <w:r w:rsidRPr="005E7AA7">
        <w:rPr>
          <w:rFonts w:ascii="Garamond" w:hAnsi="Garamond"/>
          <w:bCs/>
          <w:sz w:val="22"/>
          <w:szCs w:val="22"/>
          <w:lang w:val="en-US"/>
        </w:rPr>
        <w:t>. According to the Mexican Census, the population of Merida rose from 241,964 inhabitants, in 1970, to 830,732 inhabitants in 2010</w:t>
      </w:r>
      <w:r w:rsidR="00EB2F8A" w:rsidRPr="005E7AA7">
        <w:rPr>
          <w:rFonts w:ascii="Garamond" w:hAnsi="Garamond"/>
          <w:bCs/>
          <w:sz w:val="22"/>
          <w:szCs w:val="22"/>
          <w:lang w:val="en-US"/>
        </w:rPr>
        <w:t xml:space="preserve"> </w:t>
      </w:r>
      <w:r w:rsidR="00EB2F8A"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"author" : [ { "dropping-particle" : "", "family" : "Azcorra", "given" : "Hugo", "non-dropping-particle" : "", "parse-names" : false, "suffix" : "" }, { "dropping-particle" : "", "family" : "Wilson", "given" : "Hannah J", "non-dropping-particle" : "", "parse-names" : false, "suffix" : "" }, { "dropping-particle" : "", "family" : "Bogin", "given" : "Barry", "non-dropping-particle" : "", "parse-names" : false, "suffix" : "" }, { "dropping-particle" : "", "family" : "Varela-Silva", "given" : "M In\u00eas", "non-dropping-particle" : "", "parse-names" : false, "suffix" : "" }, { "dropping-particle" : "", "family" : "V\u00e1zquez-V\u00e1zquez", "given" : "Adriana", "non-dropping-particle" : "", "parse-names" : false, "suffix" : "" }, { "dropping-particle" : "", "family" : "Dickinson", "given" : "Federico", "non-dropping-particle" : "", "parse-names" : false, "suffix" : "" } ], "container-title" : "Archivos Latinoamericanos de Nutricion", "id" : "ITEM-1", "issued" : { "date-parts" : [ [ "0" ] ] }, "title" : "Dietetic characteristics of a sample of Mayan dual burden households in Merida, Yucatan, Mexico", "type" : "article-journal" }, "uris" : [ "http://www.mendeley.com/documents/?uuid=8525e72d-6390-4c0e-baff-d4b608529da0" ] } ], "mendeley" : { "manualFormatting" : "(Azcorra et al. under review)", "previouslyFormattedCitation" : "(Azcorra et al.)" }, "properties" : { "noteIndex" : 0 }, "schema" : "https://github.com/citation-style-language/schema/raw/master/csl-citation.json" }</w:instrText>
      </w:r>
      <w:r w:rsidR="00EB2F8A" w:rsidRPr="005E7AA7">
        <w:rPr>
          <w:rFonts w:ascii="Garamond" w:hAnsi="Garamond"/>
          <w:bCs/>
          <w:sz w:val="22"/>
          <w:szCs w:val="22"/>
          <w:lang w:val="en-US"/>
        </w:rPr>
        <w:fldChar w:fldCharType="separate"/>
      </w:r>
      <w:r w:rsidR="00EB2F8A" w:rsidRPr="005E7AA7">
        <w:rPr>
          <w:rFonts w:ascii="Garamond" w:hAnsi="Garamond"/>
          <w:bCs/>
          <w:noProof/>
          <w:sz w:val="22"/>
          <w:szCs w:val="22"/>
          <w:lang w:val="en-US"/>
        </w:rPr>
        <w:t>(Azcorra et al.</w:t>
      </w:r>
      <w:r w:rsidR="00324035" w:rsidRPr="005E7AA7">
        <w:rPr>
          <w:rFonts w:ascii="Garamond" w:hAnsi="Garamond"/>
          <w:bCs/>
          <w:noProof/>
          <w:sz w:val="22"/>
          <w:szCs w:val="22"/>
          <w:lang w:val="en-US"/>
        </w:rPr>
        <w:t xml:space="preserve"> under review</w:t>
      </w:r>
      <w:r w:rsidR="00EB2F8A" w:rsidRPr="005E7AA7">
        <w:rPr>
          <w:rFonts w:ascii="Garamond" w:hAnsi="Garamond"/>
          <w:bCs/>
          <w:noProof/>
          <w:sz w:val="22"/>
          <w:szCs w:val="22"/>
          <w:lang w:val="en-US"/>
        </w:rPr>
        <w:t>)</w:t>
      </w:r>
      <w:r w:rsidR="00EB2F8A" w:rsidRPr="005E7AA7">
        <w:rPr>
          <w:rFonts w:ascii="Garamond" w:hAnsi="Garamond"/>
          <w:bCs/>
          <w:sz w:val="22"/>
          <w:szCs w:val="22"/>
          <w:lang w:val="en-US"/>
        </w:rPr>
        <w:fldChar w:fldCharType="end"/>
      </w:r>
      <w:r w:rsidRPr="005E7AA7">
        <w:rPr>
          <w:rFonts w:ascii="Garamond" w:hAnsi="Garamond"/>
          <w:bCs/>
          <w:sz w:val="22"/>
          <w:szCs w:val="22"/>
          <w:lang w:val="en-US"/>
        </w:rPr>
        <w:t>, an</w:t>
      </w:r>
      <w:r w:rsidR="007221E2" w:rsidRPr="005E7AA7">
        <w:rPr>
          <w:rFonts w:ascii="Garamond" w:hAnsi="Garamond"/>
          <w:bCs/>
          <w:sz w:val="22"/>
          <w:szCs w:val="22"/>
          <w:lang w:val="en-US"/>
        </w:rPr>
        <w:t>d likely more than a million</w:t>
      </w:r>
      <w:r w:rsidRPr="005E7AA7">
        <w:rPr>
          <w:rFonts w:ascii="Garamond" w:hAnsi="Garamond"/>
          <w:bCs/>
          <w:sz w:val="22"/>
          <w:szCs w:val="22"/>
          <w:lang w:val="en-US"/>
        </w:rPr>
        <w:t xml:space="preserve"> </w:t>
      </w:r>
      <w:r w:rsidR="007221E2" w:rsidRPr="005E7AA7">
        <w:rPr>
          <w:rFonts w:ascii="Garamond" w:hAnsi="Garamond"/>
          <w:bCs/>
          <w:sz w:val="22"/>
          <w:szCs w:val="22"/>
          <w:lang w:val="en-US"/>
        </w:rPr>
        <w:t>today</w:t>
      </w:r>
      <w:r w:rsidRPr="005E7AA7">
        <w:rPr>
          <w:rFonts w:ascii="Garamond" w:hAnsi="Garamond"/>
          <w:bCs/>
          <w:sz w:val="22"/>
          <w:szCs w:val="22"/>
          <w:lang w:val="en-US"/>
        </w:rPr>
        <w:t>.</w:t>
      </w:r>
    </w:p>
    <w:p w:rsidR="00112D13" w:rsidRPr="005E7AA7" w:rsidRDefault="0061660B" w:rsidP="005E7AA7">
      <w:pPr>
        <w:rPr>
          <w:rFonts w:ascii="Garamond" w:hAnsi="Garamond"/>
          <w:bCs/>
          <w:sz w:val="22"/>
          <w:szCs w:val="22"/>
          <w:lang w:val="en-US"/>
        </w:rPr>
      </w:pPr>
      <w:r w:rsidRPr="005E7AA7">
        <w:rPr>
          <w:rFonts w:ascii="Garamond" w:hAnsi="Garamond"/>
          <w:bCs/>
          <w:sz w:val="22"/>
          <w:szCs w:val="22"/>
          <w:lang w:val="en-US"/>
        </w:rPr>
        <w:t>Many of</w:t>
      </w:r>
      <w:r w:rsidR="009C62EE" w:rsidRPr="005E7AA7">
        <w:rPr>
          <w:rFonts w:ascii="Garamond" w:hAnsi="Garamond"/>
          <w:bCs/>
          <w:sz w:val="22"/>
          <w:szCs w:val="22"/>
          <w:lang w:val="en-US"/>
        </w:rPr>
        <w:t xml:space="preserve"> </w:t>
      </w:r>
      <w:r w:rsidR="00F93126" w:rsidRPr="005E7AA7">
        <w:rPr>
          <w:rFonts w:ascii="Garamond" w:hAnsi="Garamond"/>
          <w:bCs/>
          <w:sz w:val="22"/>
          <w:szCs w:val="22"/>
          <w:lang w:val="en-US"/>
        </w:rPr>
        <w:t>t</w:t>
      </w:r>
      <w:r w:rsidR="00112D13" w:rsidRPr="005E7AA7">
        <w:rPr>
          <w:rFonts w:ascii="Garamond" w:hAnsi="Garamond"/>
          <w:bCs/>
          <w:sz w:val="22"/>
          <w:szCs w:val="22"/>
          <w:lang w:val="en-US"/>
        </w:rPr>
        <w:t xml:space="preserve">he Maya of </w:t>
      </w:r>
      <w:r w:rsidR="00E54F71" w:rsidRPr="005E7AA7">
        <w:rPr>
          <w:rFonts w:ascii="Garamond" w:hAnsi="Garamond"/>
          <w:bCs/>
          <w:sz w:val="22"/>
          <w:szCs w:val="22"/>
          <w:lang w:val="en-US"/>
        </w:rPr>
        <w:t>Merida live in</w:t>
      </w:r>
      <w:r w:rsidR="00112D13" w:rsidRPr="005E7AA7">
        <w:rPr>
          <w:rFonts w:ascii="Garamond" w:hAnsi="Garamond"/>
          <w:bCs/>
          <w:sz w:val="22"/>
          <w:szCs w:val="22"/>
          <w:lang w:val="en-US"/>
        </w:rPr>
        <w:t xml:space="preserve"> the southern neighborhoods of the city</w:t>
      </w:r>
      <w:r w:rsidR="00E54F71" w:rsidRPr="005E7AA7">
        <w:rPr>
          <w:rFonts w:ascii="Garamond" w:hAnsi="Garamond"/>
          <w:bCs/>
          <w:sz w:val="22"/>
          <w:szCs w:val="22"/>
          <w:lang w:val="en-US"/>
        </w:rPr>
        <w:t>. This</w:t>
      </w:r>
      <w:r w:rsidR="00112D13" w:rsidRPr="005E7AA7">
        <w:rPr>
          <w:rFonts w:ascii="Garamond" w:hAnsi="Garamond"/>
          <w:bCs/>
          <w:sz w:val="22"/>
          <w:szCs w:val="22"/>
          <w:lang w:val="en-US"/>
        </w:rPr>
        <w:t xml:space="preserve"> is a low socioeconomic status area and geographically segregated from the central and northern regions </w:t>
      </w:r>
      <w:r w:rsidR="00E54F71" w:rsidRPr="005E7AA7">
        <w:rPr>
          <w:rFonts w:ascii="Garamond" w:hAnsi="Garamond"/>
          <w:bCs/>
          <w:sz w:val="22"/>
          <w:szCs w:val="22"/>
          <w:lang w:val="en-US"/>
        </w:rPr>
        <w:t xml:space="preserve">by the International Airport, a Federal prison, and a military base. </w:t>
      </w:r>
      <w:r w:rsidR="00121264" w:rsidRPr="005E7AA7">
        <w:rPr>
          <w:rFonts w:ascii="Garamond" w:hAnsi="Garamond"/>
          <w:bCs/>
          <w:sz w:val="22"/>
          <w:szCs w:val="22"/>
          <w:lang w:val="en-US"/>
        </w:rPr>
        <w:t xml:space="preserve">Surveys in the year 2000 found that at least </w:t>
      </w:r>
      <w:r w:rsidR="00324035" w:rsidRPr="005E7AA7">
        <w:rPr>
          <w:rFonts w:ascii="Garamond" w:hAnsi="Garamond"/>
          <w:bCs/>
          <w:sz w:val="22"/>
          <w:szCs w:val="22"/>
          <w:lang w:val="en-US"/>
        </w:rPr>
        <w:t>19%</w:t>
      </w:r>
      <w:r w:rsidR="00121264" w:rsidRPr="005E7AA7">
        <w:rPr>
          <w:rFonts w:ascii="Garamond" w:hAnsi="Garamond"/>
          <w:bCs/>
          <w:sz w:val="22"/>
          <w:szCs w:val="22"/>
          <w:lang w:val="en-US"/>
        </w:rPr>
        <w:t xml:space="preserve"> of the residents of this southern region were Maya-speaking people,</w:t>
      </w:r>
      <w:r w:rsidR="00324035" w:rsidRPr="005E7AA7">
        <w:rPr>
          <w:rFonts w:ascii="Garamond" w:hAnsi="Garamond"/>
          <w:bCs/>
          <w:sz w:val="22"/>
          <w:szCs w:val="22"/>
          <w:lang w:val="en-US"/>
        </w:rPr>
        <w:t xml:space="preserve"> the highest percentage in the city, </w:t>
      </w:r>
      <w:r w:rsidR="005F2143" w:rsidRPr="005E7AA7">
        <w:rPr>
          <w:rFonts w:ascii="Garamond" w:hAnsi="Garamond"/>
          <w:bCs/>
          <w:sz w:val="22"/>
          <w:szCs w:val="22"/>
          <w:lang w:val="en-US"/>
        </w:rPr>
        <w:t>though</w:t>
      </w:r>
      <w:r w:rsidR="00121264" w:rsidRPr="005E7AA7">
        <w:rPr>
          <w:rFonts w:ascii="Garamond" w:hAnsi="Garamond"/>
          <w:bCs/>
          <w:sz w:val="22"/>
          <w:szCs w:val="22"/>
          <w:lang w:val="en-US"/>
        </w:rPr>
        <w:t xml:space="preserve"> most were fluent in Spanish as well</w:t>
      </w:r>
      <w:r w:rsidR="00E54F71" w:rsidRPr="005E7AA7">
        <w:rPr>
          <w:rFonts w:ascii="Garamond" w:hAnsi="Garamond"/>
          <w:bCs/>
          <w:sz w:val="22"/>
          <w:szCs w:val="22"/>
          <w:lang w:val="en-US"/>
        </w:rPr>
        <w:t xml:space="preserve">. Other pockets of Maya language speakers were found in </w:t>
      </w:r>
      <w:r w:rsidR="00112D13" w:rsidRPr="005E7AA7">
        <w:rPr>
          <w:rFonts w:ascii="Garamond" w:hAnsi="Garamond"/>
          <w:bCs/>
          <w:sz w:val="22"/>
          <w:szCs w:val="22"/>
          <w:lang w:val="en-US"/>
        </w:rPr>
        <w:t>some areas of the East and North of Merida</w:t>
      </w:r>
      <w:r w:rsidR="00324035" w:rsidRPr="005E7AA7">
        <w:rPr>
          <w:rFonts w:ascii="Garamond" w:hAnsi="Garamond"/>
          <w:bCs/>
          <w:sz w:val="22"/>
          <w:szCs w:val="22"/>
          <w:lang w:val="en-US"/>
        </w:rPr>
        <w:t xml:space="preserve"> </w:t>
      </w:r>
      <w:r w:rsidR="00324035"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"author" : [ { "dropping-particle" : "", "family" : "Azcorra", "given" : "Hugo", "non-dropping-particle" : "", "parse-names" : false, "suffix" : "" }, { "dropping-particle" : "", "family" : "Wilson", "given" : "Hannah J", "non-dropping-particle" : "", "parse-names" : false, "suffix" : "" }, { "dropping-particle" : "", "family" : "Bogin", "given" : "Barry", "non-dropping-particle" : "", "parse-names" : false, "suffix" : "" }, { "dropping-particle" : "", "family" : "Varela-Silva", "given" : "M In\u00eas", "non-dropping-particle" : "", "parse-names" : false, "suffix" : "" }, { "dropping-particle" : "", "family" : "V\u00e1zquez-V\u00e1zquez", "given" : "Adriana", "non-dropping-particle" : "", "parse-names" : false, "suffix" : "" }, { "dropping-particle" : "", "family" : "Dickinson", "given" : "Federico", "non-dropping-particle" : "", "parse-names" : false, "suffix" : "" } ], "container-title" : "Archivos Latinoamericanos de Nutricion", "id" : "ITEM-1", "issued" : { "date-parts" : [ [ "0" ] ] }, "title" : "Dietetic characteristics of a sample of Mayan dual burden households in Merida, Yucatan, Mexico", "type" : "article-journal" }, "uris" : [ "http://www.mendeley.com/documents/?uuid=8525e72d-6390-4c0e-baff-d4b608529da0" ] } ], "mendeley" : { "manualFormatting" : "(Azcorra et al. under review)", "previouslyFormattedCitation" : "(Azcorra et al.)" }, "properties" : { "noteIndex" : 0 }, "schema" : "https://github.com/citation-style-language/schema/raw/master/csl-citation.json" }</w:instrText>
      </w:r>
      <w:r w:rsidR="00324035" w:rsidRPr="005E7AA7">
        <w:rPr>
          <w:rFonts w:ascii="Garamond" w:hAnsi="Garamond"/>
          <w:bCs/>
          <w:sz w:val="22"/>
          <w:szCs w:val="22"/>
          <w:lang w:val="en-US"/>
        </w:rPr>
        <w:fldChar w:fldCharType="separate"/>
      </w:r>
      <w:r w:rsidR="00324035" w:rsidRPr="005E7AA7">
        <w:rPr>
          <w:rFonts w:ascii="Garamond" w:hAnsi="Garamond"/>
          <w:bCs/>
          <w:noProof/>
          <w:sz w:val="22"/>
          <w:szCs w:val="22"/>
          <w:lang w:val="en-US"/>
        </w:rPr>
        <w:t>(Azcorra et al. under review)</w:t>
      </w:r>
      <w:r w:rsidR="00324035" w:rsidRPr="005E7AA7">
        <w:rPr>
          <w:rFonts w:ascii="Garamond" w:hAnsi="Garamond"/>
          <w:bCs/>
          <w:sz w:val="22"/>
          <w:szCs w:val="22"/>
          <w:lang w:val="en-US"/>
        </w:rPr>
        <w:fldChar w:fldCharType="end"/>
      </w:r>
      <w:r w:rsidR="00112D13" w:rsidRPr="005E7AA7">
        <w:rPr>
          <w:rFonts w:ascii="Garamond" w:hAnsi="Garamond"/>
          <w:bCs/>
          <w:sz w:val="22"/>
          <w:szCs w:val="22"/>
          <w:lang w:val="en-US"/>
        </w:rPr>
        <w:t>.</w:t>
      </w:r>
    </w:p>
    <w:p w:rsidR="00E7424F" w:rsidRPr="005E7AA7" w:rsidRDefault="00E7424F" w:rsidP="008D12D4">
      <w:pPr>
        <w:rPr>
          <w:rFonts w:ascii="Garamond" w:hAnsi="Garamond"/>
          <w:bCs/>
          <w:sz w:val="22"/>
          <w:szCs w:val="22"/>
          <w:lang w:val="en-US"/>
        </w:rPr>
      </w:pPr>
      <w:r w:rsidRPr="005E7AA7">
        <w:rPr>
          <w:rFonts w:ascii="Garamond" w:hAnsi="Garamond"/>
          <w:bCs/>
          <w:sz w:val="22"/>
          <w:szCs w:val="22"/>
          <w:lang w:val="en-US"/>
        </w:rPr>
        <w:t xml:space="preserve">The </w:t>
      </w:r>
      <w:r w:rsidR="00EB6FAC" w:rsidRPr="005E7AA7">
        <w:rPr>
          <w:rFonts w:ascii="Garamond" w:hAnsi="Garamond"/>
          <w:bCs/>
          <w:sz w:val="22"/>
          <w:szCs w:val="22"/>
          <w:lang w:val="en-US"/>
        </w:rPr>
        <w:t>Nutritional Dual-Burden</w:t>
      </w:r>
    </w:p>
    <w:p w:rsidR="001B7C6C" w:rsidRPr="005E7AA7" w:rsidRDefault="005F2143" w:rsidP="00510DD3">
      <w:pPr>
        <w:rPr>
          <w:rFonts w:ascii="Garamond" w:hAnsi="Garamond"/>
          <w:bCs/>
          <w:sz w:val="22"/>
          <w:szCs w:val="22"/>
          <w:lang w:val="en-US"/>
        </w:rPr>
      </w:pPr>
      <w:r w:rsidRPr="005E7AA7">
        <w:rPr>
          <w:rFonts w:ascii="Garamond" w:hAnsi="Garamond"/>
          <w:bCs/>
          <w:sz w:val="22"/>
          <w:szCs w:val="22"/>
          <w:lang w:val="en-US"/>
        </w:rPr>
        <w:t>In 2005, several of the present authors (BB, IVS, MTC</w:t>
      </w:r>
      <w:r w:rsidR="00510DD3" w:rsidRPr="005E7AA7">
        <w:rPr>
          <w:rFonts w:ascii="Garamond" w:hAnsi="Garamond"/>
          <w:bCs/>
          <w:sz w:val="22"/>
          <w:szCs w:val="22"/>
          <w:lang w:val="en-US"/>
        </w:rPr>
        <w:t>B</w:t>
      </w:r>
      <w:r w:rsidRPr="005E7AA7">
        <w:rPr>
          <w:rFonts w:ascii="Garamond" w:hAnsi="Garamond"/>
          <w:bCs/>
          <w:sz w:val="22"/>
          <w:szCs w:val="22"/>
          <w:lang w:val="en-US"/>
        </w:rPr>
        <w:t xml:space="preserve">, FD) met in Merida and began to work together to better understand the biocultural living conditions of Maya families in Merida. This new work was supported by </w:t>
      </w:r>
      <w:r w:rsidR="00191087" w:rsidRPr="005E7AA7">
        <w:rPr>
          <w:rFonts w:ascii="Garamond" w:hAnsi="Garamond"/>
          <w:bCs/>
          <w:sz w:val="22"/>
          <w:szCs w:val="22"/>
          <w:lang w:val="en-US"/>
        </w:rPr>
        <w:t xml:space="preserve">our </w:t>
      </w:r>
      <w:r w:rsidRPr="005E7AA7">
        <w:rPr>
          <w:rFonts w:ascii="Garamond" w:hAnsi="Garamond"/>
          <w:bCs/>
          <w:sz w:val="22"/>
          <w:szCs w:val="22"/>
          <w:lang w:val="en-US"/>
        </w:rPr>
        <w:t xml:space="preserve">previous studies with Maya living in rural Yucatan and Guatemala, and Maya migrants to the United States </w:t>
      </w:r>
      <w:r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"PMID" : "12400036", "abstract" : "Maya families from Guatemala migrated to the United States in record numbers from the late 1970s to the early 1990s. Births to Maya immigrant women have created a sizable number of Maya American children. The height and sitting height of 5 to 12 years children (n = 431) were measured in 1999 and 2000. Leg length was estimated and the sitting height ratio was calculated. These data were compared with a sample of Maya children living in Guatemala measured in 1998 (n = 1,347). Maya American children are currently 11.54 cm taller and 6.83 cm longer-legged, on average, than Maya children living in Guatemala. Consequently, the Maya Americans have a significantly lower average sitting height ratio (i.e., relatively longer legs in proportion to length of the head and trunk) than do the Maya in Guatemala. These results add support to the hypothesis that both the height and body proportions of human populations are sensitive indicators of the quality of the environment for growth.", "author" : [ { "dropping-particle" : "", "family" : "Bogin", "given" : "B", "non-dropping-particle" : "", "parse-names" : false, "suffix" : "" }, { "dropping-particle" : "", "family" : "Smith", "given" : "P", "non-dropping-particle" : "", "parse-names" : false, "suffix" : "" }, { "dropping-particle" : "", "family" : "Orden", "given" : "A B", "non-dropping-particle" : "", "parse-names" : false, "suffix" : "" }, { "dropping-particle" : "", "family" : "Varela Silva", "given" : "M I", "non-dropping-particle" : "", "parse-names" : false, "suffix" : "" }, { "dropping-particle" : "", "family" : "Loucky", "given" : "J", "non-dropping-particle" : "", "parse-names" : false, "suffix" : "" } ], "container-title" : "American journal of human biology the official journal of the Human Biology Council", "id" : "ITEM-1", "issue" : "6", "issued" : { "date-parts" : [ [ "2002" ] ] }, "page" : "753-761", "title" : "Rapid change in height and body proportions of Maya American children.", "type" : "article-journal", "volume" : "14" }, "uris" : [ "http://www.mendeley.com/documents/?uuid=c676cffa-c869-425e-8d93-28e03c3237d3" ] }, { "id" : "ITEM-2", "itemData" : { "abstract" : "London:", "author" : [ { "dropping-particle" : "", "family" : "Castillo-Burguete", "given" : "Mar\u00eda Teresa", "non-dropping-particle" : "", "parse-names" : false, "suffix" : "" }, { "dropping-particle" : "", "family" : "Viga de Alva", "given" : "Mar\u00eda Dolores", "non-dropping-particle" : "", "parse-names" : false, "suffix" : "" }, { "dropping-particle" : "", "family" : "Dickinson", "given" : "Federico", "non-dropping-particle" : "", "parse-names" : false, "suffix" : "" } ], "container-title" : "The SAGE Handbook of Action Research", "editor" : [ { "dropping-particle" : "", "family" : "Bradbury", "given" : "H", "non-dropping-particle" : "", "parse-names" : false, "suffix" : "" }, { "dropping-particle" : "", "family" : "Reason", "given" : "P", "non-dropping-particle" : "", "parse-names" : false, "suffix" : "" } ], "id" : "ITEM-2", "issued" : { "date-parts" : [ [ "2008" ] ] }, "publisher" : "SAGE Publications.", "publisher-place" : "London", "title" : "Changing the culture of dependency to allow for successful outcomes in participatory research: Fourteen years of experience in Yucatan, Mexico.", "type" : "chapter" }, "uris" : [ "http://www.mendeley.com/documents/?uuid=a59bac8d-3c60-46ac-9304-f79e63043bc2" ] }, { "id" : "ITEM-3", "itemData" : { "abstract" : "A total of 522 girls and their families from low and middle social stra t.a were examined in rhe northem part of Merida (Yucatan) dur ing 1988 and 1989. Marital radius in rhe parental generation was relatively long ( 146 km). and It was stx times longer for non-Maya and mixed couples than Maya Living and houstng conditions were similar for both Maya and non- Maya (mixed couples typically had an intermedtate condition). except for sewage system (sanitation). The Maya income was 64% lower. Maya men and women were short. The girls from Melida were short. hyper-brachycephalic (short headed). and euro</w:instrText>
      </w:r>
      <w:r w:rsidR="00033477" w:rsidRPr="005E7AA7">
        <w:rPr>
          <w:rFonts w:ascii="Garamond" w:hAnsi="Garamond"/>
          <w:bCs/>
          <w:sz w:val="22"/>
          <w:szCs w:val="22"/>
          <w:lang w:val="es-MX"/>
        </w:rPr>
        <w:instrText>prosopic (broad face). Among them. Maya girls were even shorter, more round-headed, and more broad-faced rhan non Maya girls. Menarche occurred on the average at an age of 12.6 years in mothers and 12.1 years in daughters. As the generation time was about 25 years. there was a slow acceleration of maturation (0.2 years per decade). Presumably, also stature has increased in recent years", "author" : [ { "dropping-particle" : "", "family" : "Wolanski", "given" : "Napoleon", "non-dropping-particle" : "", "parse-names" : false, "suffix" : "" }, { "dropping-particle" : "", "family" : "Dickinson", "given" : "Federico", "non-dropping-particle" : "", "parse-names" : false, "suffix" : "" }, { "dropping-particle" : "", "family" : "Siniarska", "given" : "Ania", "non-dropping-particle" : "", "parse-names" : false, "suffix" : "" } ], "container-title" : "International Journal of Anthropology", "id" : "ITEM-3", "issue" : "4", "issued" : { "date-parts" : [ [ "1993" ] ] }, "page" : "233-246", "title" : "Biological traits and living conditions of Maya Indian and non Maya girls from Merida, Mexico", "type" : "article-journal", "volume" : "8" }, "uris" : [ "http://www.mendeley.com/documents/?uuid=305ebab1-17f0-49dc-809d-39202f3a07dc" ] } ], "mendeley" : { "previouslyFormattedCitation" : "(Wolanski et al., 1993; Bogin et al., 2002; Castillo-Burguete et al., 2008)" }, "properties" : { "noteIndex" : 0 }, "schema" : "https://github.com/citation-style-language/schema/raw/master/csl-citation.json" }</w:instrText>
      </w:r>
      <w:r w:rsidRPr="005E7AA7">
        <w:rPr>
          <w:rFonts w:ascii="Garamond" w:hAnsi="Garamond"/>
          <w:bCs/>
          <w:sz w:val="22"/>
          <w:szCs w:val="22"/>
          <w:lang w:val="en-US"/>
        </w:rPr>
        <w:fldChar w:fldCharType="separate"/>
      </w:r>
      <w:r w:rsidR="00B86957" w:rsidRPr="005E7AA7">
        <w:rPr>
          <w:rFonts w:ascii="Garamond" w:hAnsi="Garamond"/>
          <w:bCs/>
          <w:noProof/>
          <w:sz w:val="22"/>
          <w:szCs w:val="22"/>
          <w:lang w:val="es-MX"/>
        </w:rPr>
        <w:t>(Wolanski et al., 1993; Bogin et al., 2002; Castillo-Burguete et al., 2008)</w:t>
      </w:r>
      <w:r w:rsidRPr="005E7AA7">
        <w:rPr>
          <w:rFonts w:ascii="Garamond" w:hAnsi="Garamond"/>
          <w:bCs/>
          <w:sz w:val="22"/>
          <w:szCs w:val="22"/>
          <w:lang w:val="en-US"/>
        </w:rPr>
        <w:fldChar w:fldCharType="end"/>
      </w:r>
      <w:r w:rsidRPr="005E7AA7">
        <w:rPr>
          <w:rFonts w:ascii="Garamond" w:hAnsi="Garamond"/>
          <w:bCs/>
          <w:sz w:val="22"/>
          <w:szCs w:val="22"/>
          <w:lang w:val="es-MX"/>
        </w:rPr>
        <w:t xml:space="preserve">. </w:t>
      </w:r>
      <w:r w:rsidR="00F6547C" w:rsidRPr="005E7AA7">
        <w:rPr>
          <w:rFonts w:ascii="Garamond" w:hAnsi="Garamond"/>
          <w:bCs/>
          <w:sz w:val="22"/>
          <w:szCs w:val="22"/>
          <w:lang w:val="en-US"/>
        </w:rPr>
        <w:t>Our new research focused on the nutritional dual-burden</w:t>
      </w:r>
      <w:r w:rsidR="00A57480" w:rsidRPr="005E7AA7">
        <w:rPr>
          <w:rFonts w:ascii="Garamond" w:hAnsi="Garamond"/>
          <w:bCs/>
          <w:sz w:val="22"/>
          <w:szCs w:val="22"/>
          <w:lang w:val="en-US"/>
        </w:rPr>
        <w:t>, which may be</w:t>
      </w:r>
      <w:r w:rsidR="00F6547C" w:rsidRPr="005E7AA7">
        <w:rPr>
          <w:rFonts w:ascii="Garamond" w:hAnsi="Garamond"/>
          <w:bCs/>
          <w:sz w:val="22"/>
          <w:szCs w:val="22"/>
          <w:lang w:val="en-US"/>
        </w:rPr>
        <w:t xml:space="preserve"> </w:t>
      </w:r>
      <w:r w:rsidR="00A57480" w:rsidRPr="005E7AA7">
        <w:rPr>
          <w:rFonts w:ascii="Garamond" w:hAnsi="Garamond"/>
          <w:bCs/>
          <w:sz w:val="22"/>
          <w:szCs w:val="22"/>
          <w:lang w:val="en-US"/>
        </w:rPr>
        <w:t xml:space="preserve">broadly defined as the coexistence of </w:t>
      </w:r>
      <w:r w:rsidR="00D504B1" w:rsidRPr="005E7AA7">
        <w:rPr>
          <w:rFonts w:ascii="Garamond" w:hAnsi="Garamond"/>
          <w:bCs/>
          <w:sz w:val="22"/>
          <w:szCs w:val="22"/>
          <w:lang w:val="en-US"/>
        </w:rPr>
        <w:t>unde</w:t>
      </w:r>
      <w:r w:rsidR="00081E63" w:rsidRPr="005E7AA7">
        <w:rPr>
          <w:rFonts w:ascii="Garamond" w:hAnsi="Garamond"/>
          <w:bCs/>
          <w:sz w:val="22"/>
          <w:szCs w:val="22"/>
          <w:lang w:val="en-US"/>
        </w:rPr>
        <w:t>r</w:t>
      </w:r>
      <w:r w:rsidR="00D504B1" w:rsidRPr="005E7AA7">
        <w:rPr>
          <w:rFonts w:ascii="Garamond" w:hAnsi="Garamond"/>
          <w:bCs/>
          <w:sz w:val="22"/>
          <w:szCs w:val="22"/>
          <w:lang w:val="en-US"/>
        </w:rPr>
        <w:t>-nutrition</w:t>
      </w:r>
      <w:r w:rsidR="00A57480" w:rsidRPr="005E7AA7">
        <w:rPr>
          <w:rFonts w:ascii="Garamond" w:hAnsi="Garamond"/>
          <w:bCs/>
          <w:sz w:val="22"/>
          <w:szCs w:val="22"/>
          <w:lang w:val="en-US"/>
        </w:rPr>
        <w:t xml:space="preserve"> (mainly stunting) and over</w:t>
      </w:r>
      <w:r w:rsidR="00D504B1" w:rsidRPr="005E7AA7">
        <w:rPr>
          <w:rFonts w:ascii="Garamond" w:hAnsi="Garamond"/>
          <w:bCs/>
          <w:sz w:val="22"/>
          <w:szCs w:val="22"/>
          <w:lang w:val="en-US"/>
        </w:rPr>
        <w:t>-</w:t>
      </w:r>
      <w:r w:rsidR="00A57480" w:rsidRPr="005E7AA7">
        <w:rPr>
          <w:rFonts w:ascii="Garamond" w:hAnsi="Garamond"/>
          <w:bCs/>
          <w:sz w:val="22"/>
          <w:szCs w:val="22"/>
          <w:lang w:val="en-US"/>
        </w:rPr>
        <w:t xml:space="preserve">nutrition (overweight and obesity) in the same population/group, the same household/family, or the same person </w:t>
      </w:r>
      <w:r w:rsidR="00A57480"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"abstract" : "This paper focuses on the phenomenon of the nutritional dual-burden in the developing world. Nutritional dual-burden is defined as the coexistence of under-and-over nutrition in the same population/group, the same household/family, or the same person. In this paper we aim: a) to describe the different types of nutritional dual-burden, b) to identify the anthropometric indicators generally used to classify the nutritional dual-burden, c) to focus our attention on a dual-burden group (the Maya from Merida, Yucatan, Mexico), d) to illustrate problems in the categorization of the dual-burden, and e) to suggest possible health implications. Our results show that, for our sample, the prevalence of individual dual-burden among children is very low, but is very high among the mothers and for mother-child pairs (household dual-burden). Most importantly, the criteria used to assess the nutritional status of the individuals and of the families will play an important role in the estimated prevalence of nutritional dual-burden, and this will have practical impacts for health intervention programs.", "author" : [ { "dropping-particle" : "", "family" : "Varela-Silva", "given" : "Maria In\u00eas", "non-dropping-particle" : "", "parse-names" : false, "suffix" : "" }, { "dropping-particle" : "", "family" : "Dickinson", "given" : "Federico", "non-dropping-particle" : "", "parse-names" : false, "suffix" : "" }, { "dropping-particle" : "", "family" : "Wilson", "given" : "Hannah", "non-dropping-particle" : "", "parse-names" : false, "suffix" : "" }, { "dropping-particle" : "", "family" : "Azcorra", "given" : "Hugo", "non-dropping-particle" : "", "parse-names" : false, "suffix" : "" }, { "dropping-particle" : "", "family" : "Griffiths", "given" : "Paula Louise", "non-dropping-particle" : "", "parse-names" : false, "suffix" : "" }, { "dropping-particle" : "", "family" : "Bogin", "given" : "Barry", "non-dropping-particle" : "", "parse-names" : false, "suffix" : "" } ], "container-title" : "Collegium antropologicum", "id" : "ITEM-1", "issue" : "1", "issued" : { "date-parts" : [ [ "2012", "3" ] ] }, "page" : "39-45", "title" : "The nutritional dual-burden in developing countries--how is it assessed and what are the health implications?", "type" : "article-journal", "volume" : "36" }, "uris" : [ "http://www.mendeley.com/documents/?uuid=a1721e0b-e65d-4d3f-a7d9-a22122f365c6" ] } ], "mendeley" : { "previouslyFormattedCitation" : "(Varela-Silva et al., 2012)" }, "properties" : { "noteIndex" : 0 }, "schema" : "https://github.com/citation-style-language/schema/raw/master/csl-citation.json" }</w:instrText>
      </w:r>
      <w:r w:rsidR="00A57480" w:rsidRPr="005E7AA7">
        <w:rPr>
          <w:rFonts w:ascii="Garamond" w:hAnsi="Garamond"/>
          <w:bCs/>
          <w:sz w:val="22"/>
          <w:szCs w:val="22"/>
          <w:lang w:val="en-US"/>
        </w:rPr>
        <w:fldChar w:fldCharType="separate"/>
      </w:r>
      <w:r w:rsidR="003C103F" w:rsidRPr="005E7AA7">
        <w:rPr>
          <w:rFonts w:ascii="Garamond" w:hAnsi="Garamond"/>
          <w:bCs/>
          <w:noProof/>
          <w:sz w:val="22"/>
          <w:szCs w:val="22"/>
          <w:lang w:val="en-US"/>
        </w:rPr>
        <w:t>(Varela-Silva et al., 2012)</w:t>
      </w:r>
      <w:r w:rsidR="00A57480" w:rsidRPr="005E7AA7">
        <w:rPr>
          <w:rFonts w:ascii="Garamond" w:hAnsi="Garamond"/>
          <w:bCs/>
          <w:sz w:val="22"/>
          <w:szCs w:val="22"/>
          <w:lang w:val="en-US"/>
        </w:rPr>
        <w:fldChar w:fldCharType="end"/>
      </w:r>
      <w:r w:rsidR="00A57480" w:rsidRPr="005E7AA7">
        <w:rPr>
          <w:rFonts w:ascii="Garamond" w:hAnsi="Garamond"/>
          <w:bCs/>
          <w:sz w:val="22"/>
          <w:szCs w:val="22"/>
          <w:lang w:val="en-US"/>
        </w:rPr>
        <w:t xml:space="preserve">. </w:t>
      </w:r>
    </w:p>
    <w:p w:rsidR="00D504B1" w:rsidRPr="005E7AA7" w:rsidRDefault="00C64E1A" w:rsidP="005E7AA7">
      <w:pPr>
        <w:rPr>
          <w:rFonts w:ascii="Garamond" w:hAnsi="Garamond"/>
          <w:bCs/>
          <w:sz w:val="22"/>
          <w:szCs w:val="22"/>
          <w:lang w:val="en-US"/>
        </w:rPr>
      </w:pPr>
      <w:r w:rsidRPr="005E7AA7">
        <w:rPr>
          <w:rFonts w:ascii="Garamond" w:hAnsi="Garamond"/>
          <w:bCs/>
          <w:sz w:val="22"/>
          <w:szCs w:val="22"/>
          <w:lang w:val="en-US"/>
        </w:rPr>
        <w:t xml:space="preserve">The Maya are one of the shortest stature, non-Pygmy, </w:t>
      </w:r>
      <w:proofErr w:type="gramStart"/>
      <w:r w:rsidRPr="005E7AA7">
        <w:rPr>
          <w:rFonts w:ascii="Garamond" w:hAnsi="Garamond"/>
          <w:bCs/>
          <w:sz w:val="22"/>
          <w:szCs w:val="22"/>
          <w:lang w:val="en-US"/>
        </w:rPr>
        <w:t>populations</w:t>
      </w:r>
      <w:proofErr w:type="gramEnd"/>
      <w:r w:rsidRPr="005E7AA7">
        <w:rPr>
          <w:rFonts w:ascii="Garamond" w:hAnsi="Garamond"/>
          <w:bCs/>
          <w:sz w:val="22"/>
          <w:szCs w:val="22"/>
          <w:lang w:val="en-US"/>
        </w:rPr>
        <w:t xml:space="preserve"> in the world. </w:t>
      </w:r>
      <w:r w:rsidR="00081E63" w:rsidRPr="005E7AA7">
        <w:rPr>
          <w:rFonts w:ascii="Garamond" w:hAnsi="Garamond"/>
          <w:bCs/>
          <w:sz w:val="22"/>
          <w:szCs w:val="22"/>
          <w:lang w:val="en-US"/>
        </w:rPr>
        <w:t xml:space="preserve">Pygmies are short statured due to the lack of </w:t>
      </w:r>
      <w:r w:rsidR="00324035" w:rsidRPr="005E7AA7">
        <w:rPr>
          <w:rFonts w:ascii="Garamond" w:hAnsi="Garamond"/>
          <w:bCs/>
          <w:sz w:val="22"/>
          <w:szCs w:val="22"/>
          <w:lang w:val="en-US"/>
        </w:rPr>
        <w:t>specific</w:t>
      </w:r>
      <w:r w:rsidR="00081E63" w:rsidRPr="005E7AA7">
        <w:rPr>
          <w:rFonts w:ascii="Garamond" w:hAnsi="Garamond"/>
          <w:bCs/>
          <w:sz w:val="22"/>
          <w:szCs w:val="22"/>
          <w:lang w:val="en-US"/>
        </w:rPr>
        <w:t xml:space="preserve"> </w:t>
      </w:r>
      <w:r w:rsidR="00033477" w:rsidRPr="005E7AA7">
        <w:rPr>
          <w:rFonts w:ascii="Garamond" w:hAnsi="Garamond"/>
          <w:bCs/>
          <w:sz w:val="22"/>
          <w:szCs w:val="22"/>
          <w:lang w:val="en-US"/>
        </w:rPr>
        <w:t>hormones</w:t>
      </w:r>
      <w:r w:rsidR="00081E63" w:rsidRPr="005E7AA7">
        <w:rPr>
          <w:rFonts w:ascii="Garamond" w:hAnsi="Garamond"/>
          <w:bCs/>
          <w:sz w:val="22"/>
          <w:szCs w:val="22"/>
          <w:lang w:val="en-US"/>
        </w:rPr>
        <w:t xml:space="preserve">, their carrier proteins, or cell binding agents, but there are no such known reasons for Maya short stature. </w:t>
      </w:r>
      <w:r w:rsidR="00631BE6" w:rsidRPr="005E7AA7">
        <w:rPr>
          <w:rFonts w:ascii="Garamond" w:hAnsi="Garamond"/>
          <w:bCs/>
          <w:sz w:val="22"/>
          <w:szCs w:val="22"/>
          <w:lang w:val="en-US"/>
        </w:rPr>
        <w:t>The average height of contemporary, r</w:t>
      </w:r>
      <w:r w:rsidR="00800944" w:rsidRPr="005E7AA7">
        <w:rPr>
          <w:rFonts w:ascii="Garamond" w:hAnsi="Garamond"/>
          <w:bCs/>
          <w:sz w:val="22"/>
          <w:szCs w:val="22"/>
          <w:lang w:val="en-US"/>
        </w:rPr>
        <w:t xml:space="preserve">ural-living Maya </w:t>
      </w:r>
      <w:r w:rsidR="00631BE6" w:rsidRPr="005E7AA7">
        <w:rPr>
          <w:rFonts w:ascii="Garamond" w:hAnsi="Garamond"/>
          <w:bCs/>
          <w:sz w:val="22"/>
          <w:szCs w:val="22"/>
          <w:lang w:val="en-US"/>
        </w:rPr>
        <w:t>men and women in Mexico and Guatemala is 16</w:t>
      </w:r>
      <w:r w:rsidR="00C5438A" w:rsidRPr="005E7AA7">
        <w:rPr>
          <w:rFonts w:ascii="Garamond" w:hAnsi="Garamond"/>
          <w:bCs/>
          <w:sz w:val="22"/>
          <w:szCs w:val="22"/>
          <w:lang w:val="en-US"/>
        </w:rPr>
        <w:t>0</w:t>
      </w:r>
      <w:r w:rsidR="00631BE6" w:rsidRPr="005E7AA7">
        <w:rPr>
          <w:rFonts w:ascii="Garamond" w:hAnsi="Garamond"/>
          <w:bCs/>
          <w:sz w:val="22"/>
          <w:szCs w:val="22"/>
          <w:lang w:val="en-US"/>
        </w:rPr>
        <w:t xml:space="preserve"> cm and 14</w:t>
      </w:r>
      <w:r w:rsidR="00C5438A" w:rsidRPr="005E7AA7">
        <w:rPr>
          <w:rFonts w:ascii="Garamond" w:hAnsi="Garamond"/>
          <w:bCs/>
          <w:sz w:val="22"/>
          <w:szCs w:val="22"/>
          <w:lang w:val="en-US"/>
        </w:rPr>
        <w:t>8</w:t>
      </w:r>
      <w:r w:rsidR="00631BE6" w:rsidRPr="005E7AA7">
        <w:rPr>
          <w:rFonts w:ascii="Garamond" w:hAnsi="Garamond"/>
          <w:bCs/>
          <w:sz w:val="22"/>
          <w:szCs w:val="22"/>
          <w:lang w:val="en-US"/>
        </w:rPr>
        <w:t xml:space="preserve"> cm, respectively</w:t>
      </w:r>
      <w:r w:rsidR="00C5438A" w:rsidRPr="005E7AA7">
        <w:rPr>
          <w:rFonts w:ascii="Garamond" w:hAnsi="Garamond"/>
          <w:bCs/>
          <w:sz w:val="22"/>
          <w:szCs w:val="22"/>
          <w:lang w:val="en-US"/>
        </w:rPr>
        <w:t xml:space="preserve">. On a world-wide basis, women tend to average 12 cm less than men from the same population </w:t>
      </w:r>
      <w:r w:rsidR="00C5438A"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"PMID" : "10462154", "abstract" : "Human growth in height may be used as a cumulative record of the nutritional and health history of a person or a population, and often reflects the economic, social and political environment in which those people live. This paper explores the relationship between growth in height and the economic, social and political environment in Latin American populations. Adult height is analysed over an 8250 year period. It is shown that economic, social and political change prior to the European conquest of the Americas resulted in positive and negative trends in mean stature. Following the European conquest, there was a decline in mean adult stature in Middle and South America that continued until about 1939. From 1940 to 1989 there was a trend for increasing mean stature. A negative trend in stature for children is found in a second analysis. Economic decline and political unrest in Guatemala since 1978 is associated with a significant decline in the mean stature of 10- and 11-year-old children from families from very high, moderate, and very low socioeconomic status.", "author" : [ { "dropping-particle" : "", "family" : "Bogin", "given" : "Barry", "non-dropping-particle" : "", "parse-names" : false, "suffix" : "" }, { "dropping-particle" : "", "family" : "Keep", "given" : "Ryan", "non-dropping-particle" : "", "parse-names" : false, "suffix" : "" } ], "container-title" : "Annals of Human Biology", "id" : "ITEM-1", "issue" : "4", "issued" : { "date-parts" : [ [ "1999" ] ] }, "page" : "333-351", "publisher" : "Informa Healthcare", "title" : "Eight thousand years of economic and political history in Latin America revealed by anthropometry.", "type" : "article-journal", "volume" : "26" }, "uris" : [ "http://www.mendeley.com/documents/?uuid=c2c77e28-1354-426c-ae05-9d630f76c891" ] } ], "mendeley" : { "previouslyFormattedCitation" : "(Bogin and Keep, 1999)" }, "properties" : { "noteIndex" : 0 }, "schema" : "https://github.com/citation-style-language/schema/raw/master/csl-citation.json" }</w:instrText>
      </w:r>
      <w:r w:rsidR="00C5438A" w:rsidRPr="005E7AA7">
        <w:rPr>
          <w:rFonts w:ascii="Garamond" w:hAnsi="Garamond"/>
          <w:bCs/>
          <w:sz w:val="22"/>
          <w:szCs w:val="22"/>
          <w:lang w:val="en-US"/>
        </w:rPr>
        <w:fldChar w:fldCharType="separate"/>
      </w:r>
      <w:r w:rsidR="00C5438A" w:rsidRPr="005E7AA7">
        <w:rPr>
          <w:rFonts w:ascii="Garamond" w:hAnsi="Garamond"/>
          <w:bCs/>
          <w:noProof/>
          <w:sz w:val="22"/>
          <w:szCs w:val="22"/>
          <w:lang w:val="en-US"/>
        </w:rPr>
        <w:t>(Bogin and Keep, 1999)</w:t>
      </w:r>
      <w:r w:rsidR="00C5438A" w:rsidRPr="005E7AA7">
        <w:rPr>
          <w:rFonts w:ascii="Garamond" w:hAnsi="Garamond"/>
          <w:bCs/>
          <w:sz w:val="22"/>
          <w:szCs w:val="22"/>
          <w:lang w:val="en-US"/>
        </w:rPr>
        <w:fldChar w:fldCharType="end"/>
      </w:r>
      <w:r w:rsidR="00631BE6" w:rsidRPr="005E7AA7">
        <w:rPr>
          <w:rFonts w:ascii="Garamond" w:hAnsi="Garamond"/>
          <w:bCs/>
          <w:sz w:val="22"/>
          <w:szCs w:val="22"/>
          <w:lang w:val="en-US"/>
        </w:rPr>
        <w:t>. Estimates of stature from skeletal remains at Maya archaeological sites indicate that the height of men averaged 1</w:t>
      </w:r>
      <w:r w:rsidR="00834114" w:rsidRPr="005E7AA7">
        <w:rPr>
          <w:rFonts w:ascii="Garamond" w:hAnsi="Garamond"/>
          <w:bCs/>
          <w:sz w:val="22"/>
          <w:szCs w:val="22"/>
          <w:lang w:val="en-US"/>
        </w:rPr>
        <w:t>66</w:t>
      </w:r>
      <w:r w:rsidR="00631BE6" w:rsidRPr="005E7AA7">
        <w:rPr>
          <w:rFonts w:ascii="Garamond" w:hAnsi="Garamond"/>
          <w:bCs/>
          <w:sz w:val="22"/>
          <w:szCs w:val="22"/>
          <w:lang w:val="en-US"/>
        </w:rPr>
        <w:t xml:space="preserve"> cm </w:t>
      </w:r>
      <w:r w:rsidR="00053CC0" w:rsidRPr="005E7AA7">
        <w:rPr>
          <w:rFonts w:ascii="Garamond" w:hAnsi="Garamond"/>
          <w:bCs/>
          <w:sz w:val="22"/>
          <w:szCs w:val="22"/>
          <w:lang w:val="en-US"/>
        </w:rPr>
        <w:t xml:space="preserve">at the start of the Classic Period in 250 AD, a time of relative prosperity for the Maya. </w:t>
      </w:r>
      <w:r w:rsidR="007839A8" w:rsidRPr="005E7AA7">
        <w:rPr>
          <w:rFonts w:ascii="Garamond" w:hAnsi="Garamond"/>
          <w:bCs/>
          <w:sz w:val="22"/>
          <w:szCs w:val="22"/>
          <w:lang w:val="en-US"/>
        </w:rPr>
        <w:lastRenderedPageBreak/>
        <w:t xml:space="preserve">Maya men of high social status, indicated by burials within ornate tombs or pyramids, averaged 170 cm in height, and at least one man was 177 cm tall. </w:t>
      </w:r>
      <w:r w:rsidR="00C5438A" w:rsidRPr="005E7AA7">
        <w:rPr>
          <w:rFonts w:ascii="Garamond" w:hAnsi="Garamond"/>
          <w:bCs/>
          <w:sz w:val="22"/>
          <w:szCs w:val="22"/>
          <w:lang w:val="en-US"/>
        </w:rPr>
        <w:t>T</w:t>
      </w:r>
      <w:r w:rsidR="003C103F" w:rsidRPr="005E7AA7">
        <w:rPr>
          <w:rFonts w:ascii="Garamond" w:hAnsi="Garamond"/>
          <w:bCs/>
          <w:sz w:val="22"/>
          <w:szCs w:val="22"/>
          <w:lang w:val="en-US"/>
        </w:rPr>
        <w:t>h</w:t>
      </w:r>
      <w:r w:rsidR="007839A8" w:rsidRPr="005E7AA7">
        <w:rPr>
          <w:rFonts w:ascii="Garamond" w:hAnsi="Garamond"/>
          <w:bCs/>
          <w:sz w:val="22"/>
          <w:szCs w:val="22"/>
          <w:lang w:val="en-US"/>
        </w:rPr>
        <w:t>e</w:t>
      </w:r>
      <w:r w:rsidR="00C5438A" w:rsidRPr="005E7AA7">
        <w:rPr>
          <w:rFonts w:ascii="Garamond" w:hAnsi="Garamond"/>
          <w:bCs/>
          <w:sz w:val="22"/>
          <w:szCs w:val="22"/>
          <w:lang w:val="en-US"/>
        </w:rPr>
        <w:t>s</w:t>
      </w:r>
      <w:r w:rsidR="007839A8" w:rsidRPr="005E7AA7">
        <w:rPr>
          <w:rFonts w:ascii="Garamond" w:hAnsi="Garamond"/>
          <w:bCs/>
          <w:sz w:val="22"/>
          <w:szCs w:val="22"/>
          <w:lang w:val="en-US"/>
        </w:rPr>
        <w:t>e high status Maya</w:t>
      </w:r>
      <w:r w:rsidR="00C5438A" w:rsidRPr="005E7AA7">
        <w:rPr>
          <w:rFonts w:ascii="Garamond" w:hAnsi="Garamond"/>
          <w:bCs/>
          <w:sz w:val="22"/>
          <w:szCs w:val="22"/>
          <w:lang w:val="en-US"/>
        </w:rPr>
        <w:t xml:space="preserve"> </w:t>
      </w:r>
      <w:r w:rsidR="007839A8" w:rsidRPr="005E7AA7">
        <w:rPr>
          <w:rFonts w:ascii="Garamond" w:hAnsi="Garamond"/>
          <w:bCs/>
          <w:sz w:val="22"/>
          <w:szCs w:val="22"/>
          <w:lang w:val="en-US"/>
        </w:rPr>
        <w:t>were about the same height as</w:t>
      </w:r>
      <w:r w:rsidR="003C103F" w:rsidRPr="005E7AA7">
        <w:rPr>
          <w:rFonts w:ascii="Garamond" w:hAnsi="Garamond"/>
          <w:bCs/>
          <w:sz w:val="22"/>
          <w:szCs w:val="22"/>
          <w:lang w:val="en-US"/>
        </w:rPr>
        <w:t xml:space="preserve"> ‘tall’ African populations, such as the Tutsi of Rwanda and Burundi</w:t>
      </w:r>
      <w:r w:rsidR="007839A8" w:rsidRPr="005E7AA7">
        <w:rPr>
          <w:rFonts w:ascii="Garamond" w:hAnsi="Garamond"/>
          <w:bCs/>
          <w:sz w:val="22"/>
          <w:szCs w:val="22"/>
          <w:lang w:val="en-US"/>
        </w:rPr>
        <w:t>,</w:t>
      </w:r>
      <w:r w:rsidR="003C103F" w:rsidRPr="005E7AA7">
        <w:rPr>
          <w:rFonts w:ascii="Garamond" w:hAnsi="Garamond"/>
          <w:bCs/>
          <w:sz w:val="22"/>
          <w:szCs w:val="22"/>
          <w:lang w:val="en-US"/>
        </w:rPr>
        <w:t xml:space="preserve"> measured in the early 20</w:t>
      </w:r>
      <w:r w:rsidR="003C103F" w:rsidRPr="005E7AA7">
        <w:rPr>
          <w:rFonts w:ascii="Garamond" w:hAnsi="Garamond"/>
          <w:bCs/>
          <w:sz w:val="22"/>
          <w:szCs w:val="22"/>
          <w:vertAlign w:val="superscript"/>
          <w:lang w:val="en-US"/>
        </w:rPr>
        <w:t>th</w:t>
      </w:r>
      <w:r w:rsidR="003C103F" w:rsidRPr="005E7AA7">
        <w:rPr>
          <w:rFonts w:ascii="Garamond" w:hAnsi="Garamond"/>
          <w:bCs/>
          <w:sz w:val="22"/>
          <w:szCs w:val="22"/>
          <w:lang w:val="en-US"/>
        </w:rPr>
        <w:t xml:space="preserve"> Century</w:t>
      </w:r>
      <w:r w:rsidR="00C5438A" w:rsidRPr="005E7AA7">
        <w:rPr>
          <w:rFonts w:ascii="Garamond" w:hAnsi="Garamond"/>
          <w:bCs/>
          <w:sz w:val="22"/>
          <w:szCs w:val="22"/>
          <w:lang w:val="en-US"/>
        </w:rPr>
        <w:t xml:space="preserve"> (170 cm), and taller than many Europeans at the end of the 19</w:t>
      </w:r>
      <w:r w:rsidR="00C5438A" w:rsidRPr="005E7AA7">
        <w:rPr>
          <w:rFonts w:ascii="Garamond" w:hAnsi="Garamond"/>
          <w:bCs/>
          <w:sz w:val="22"/>
          <w:szCs w:val="22"/>
          <w:vertAlign w:val="superscript"/>
          <w:lang w:val="en-US"/>
        </w:rPr>
        <w:t>th</w:t>
      </w:r>
      <w:r w:rsidR="00C5438A" w:rsidRPr="005E7AA7">
        <w:rPr>
          <w:rFonts w:ascii="Garamond" w:hAnsi="Garamond"/>
          <w:bCs/>
          <w:sz w:val="22"/>
          <w:szCs w:val="22"/>
          <w:lang w:val="en-US"/>
        </w:rPr>
        <w:t xml:space="preserve"> Century</w:t>
      </w:r>
      <w:r w:rsidR="003C103F" w:rsidRPr="005E7AA7">
        <w:rPr>
          <w:rFonts w:ascii="Garamond" w:hAnsi="Garamond"/>
          <w:bCs/>
          <w:sz w:val="22"/>
          <w:szCs w:val="22"/>
          <w:lang w:val="en-US"/>
        </w:rPr>
        <w:t xml:space="preserve"> </w:t>
      </w:r>
      <w:r w:rsidR="003C103F"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"ISBN" : "0199738149", "author" : [ { "dropping-particle" : "", "family" : "Bogin", "given" : "Barry", "non-dropping-particle" : "", "parse-names" : false, "suffix" : "" } ], "chapter-number" : "27", "container-title" : "Nutritional Anthropology: Biocultural Perspectives on Food and Nutrition", "edition" : "Second", "editor" : [ { "dropping-particle" : "", "family" : "Dufour", "given" : "Darna L.", "non-dropping-particle" : "", "parse-names" : false, "suffix" : "" }, { "dropping-particle" : "", "family" : "Goodman", "given" : "Alan H.", "non-dropping-particle" : "", "parse-names" : false, "suffix" : "" }, { "dropping-particle" : "", "family" : "Pelto", "given" : "Gretel H.", "non-dropping-particle" : "", "parse-names" : false, "suffix" : "" } ], "id" : "ITEM-1", "issued" : { "date-parts" : [ [ "2013" ] ] }, "page" : "231-244", "publisher" : "Oxford University Press", "publisher-place" : "Oxford", "title" : "The Maya in Disneyland: Child Growth as a Marker of Nutritional, Economic, and Political Ecology", "type" : "chapter" }, "uris" : [ "http://www.mendeley.com/documents/?uuid=6d493b72-3f6d-4e58-8a8c-0d1c2ecad13a" ] } ], "mendeley" : { "manualFormatting" : "(Bogin, 2013)", "previouslyFormattedCitation" : "(Bogin, 2013)" }, "properties" : { "noteIndex" : 0 }, "schema" : "https://github.com/citation-style-language/schema/raw/master/csl-citation.json" }</w:instrText>
      </w:r>
      <w:r w:rsidR="003C103F" w:rsidRPr="005E7AA7">
        <w:rPr>
          <w:rFonts w:ascii="Garamond" w:hAnsi="Garamond"/>
          <w:bCs/>
          <w:sz w:val="22"/>
          <w:szCs w:val="22"/>
          <w:lang w:val="en-US"/>
        </w:rPr>
        <w:fldChar w:fldCharType="separate"/>
      </w:r>
      <w:r w:rsidR="003C103F" w:rsidRPr="005E7AA7">
        <w:rPr>
          <w:rFonts w:ascii="Garamond" w:hAnsi="Garamond"/>
          <w:bCs/>
          <w:noProof/>
          <w:sz w:val="22"/>
          <w:szCs w:val="22"/>
          <w:lang w:val="en-US"/>
        </w:rPr>
        <w:t>(Bogin, 2013)</w:t>
      </w:r>
      <w:r w:rsidR="003C103F" w:rsidRPr="005E7AA7">
        <w:rPr>
          <w:rFonts w:ascii="Garamond" w:hAnsi="Garamond"/>
          <w:bCs/>
          <w:sz w:val="22"/>
          <w:szCs w:val="22"/>
          <w:lang w:val="en-US"/>
        </w:rPr>
        <w:fldChar w:fldCharType="end"/>
      </w:r>
      <w:r w:rsidR="003C103F" w:rsidRPr="005E7AA7">
        <w:rPr>
          <w:rFonts w:ascii="Garamond" w:hAnsi="Garamond"/>
          <w:bCs/>
          <w:sz w:val="22"/>
          <w:szCs w:val="22"/>
          <w:lang w:val="en-US"/>
        </w:rPr>
        <w:t xml:space="preserve">. </w:t>
      </w:r>
      <w:r w:rsidR="00053CC0" w:rsidRPr="005E7AA7">
        <w:rPr>
          <w:rFonts w:ascii="Garamond" w:hAnsi="Garamond"/>
          <w:bCs/>
          <w:sz w:val="22"/>
          <w:szCs w:val="22"/>
          <w:lang w:val="en-US"/>
        </w:rPr>
        <w:t>By the end of</w:t>
      </w:r>
      <w:r w:rsidR="008D12D4" w:rsidRPr="005E7AA7">
        <w:rPr>
          <w:rFonts w:ascii="Garamond" w:hAnsi="Garamond"/>
          <w:bCs/>
          <w:sz w:val="22"/>
          <w:szCs w:val="22"/>
          <w:lang w:val="en-US"/>
        </w:rPr>
        <w:t xml:space="preserve"> Classic Period</w:t>
      </w:r>
      <w:r w:rsidR="00324035" w:rsidRPr="005E7AA7">
        <w:rPr>
          <w:rFonts w:ascii="Garamond" w:hAnsi="Garamond"/>
          <w:bCs/>
          <w:sz w:val="22"/>
          <w:szCs w:val="22"/>
          <w:lang w:val="en-US"/>
        </w:rPr>
        <w:t>,</w:t>
      </w:r>
      <w:r w:rsidR="008D12D4" w:rsidRPr="005E7AA7">
        <w:rPr>
          <w:rFonts w:ascii="Garamond" w:hAnsi="Garamond"/>
          <w:bCs/>
          <w:sz w:val="22"/>
          <w:szCs w:val="22"/>
          <w:lang w:val="en-US"/>
        </w:rPr>
        <w:t xml:space="preserve"> at about 900 AD, Maya societies were suffering from centuries of warfare and environmental change. Maya kingdoms in lowland Guatemala were disbanded, but centers such as Uxmal in the Yucatan peninsula remained vibrant until about 1200 CE. During this period the average stature</w:t>
      </w:r>
      <w:r w:rsidR="008C3748" w:rsidRPr="005E7AA7">
        <w:rPr>
          <w:rFonts w:ascii="Garamond" w:hAnsi="Garamond"/>
          <w:bCs/>
          <w:sz w:val="22"/>
          <w:szCs w:val="22"/>
          <w:lang w:val="en-US"/>
        </w:rPr>
        <w:t xml:space="preserve"> of Maya men decreased to 16</w:t>
      </w:r>
      <w:r w:rsidR="00C5438A" w:rsidRPr="005E7AA7">
        <w:rPr>
          <w:rFonts w:ascii="Garamond" w:hAnsi="Garamond"/>
          <w:bCs/>
          <w:sz w:val="22"/>
          <w:szCs w:val="22"/>
          <w:lang w:val="en-US"/>
        </w:rPr>
        <w:t>3</w:t>
      </w:r>
      <w:r w:rsidR="008C3748" w:rsidRPr="005E7AA7">
        <w:rPr>
          <w:rFonts w:ascii="Garamond" w:hAnsi="Garamond"/>
          <w:bCs/>
          <w:sz w:val="22"/>
          <w:szCs w:val="22"/>
          <w:lang w:val="en-US"/>
        </w:rPr>
        <w:t xml:space="preserve"> cm and declined again to its present value after the European Conquest of 1500 AD </w:t>
      </w:r>
      <w:r w:rsidR="00834114"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"PMID" : "10462154", "abstract" : "Human growth in height may be used as a cumulative record of the nutritional and health history of a person or a population, and often reflects the economic, social and political environment in which those people live. This paper explores the relationship between growth in height and the economic, social and political environment in Latin American populations. Adult height is analysed over an 8250 year period. It is shown that economic, social and political change prior to the European conquest of the Americas resulted in positive and negative trends in mean stature. Following the European conquest, there was a decline in mean adult stature in Middle and South America that continued until about 1939. From 1940 to 1989 there was a trend for increasing mean stature. A negative trend in stature for children is found in a second analysis. Economic decline and political unrest in Guatemala since 1978 is associated with a significant decline in the mean stature of 10- and 11-year-old children from families from very high, moderate, and very low socioeconomic status.", "author" : [ { "dropping-particle" : "", "family" : "Bogin", "given" : "Barry", "non-dropping-particle" : "", "parse-names" : false, "suffix" : "" }, { "dropping-particle" : "", "family" : "Keep", "given" : "Ryan", "non-dropping-particle" : "", "parse-names" : false, "suffix" : "" } ], "container-title" : "Annals of Human Biology", "id" : "ITEM-1", "issue" : "4", "issued" : { "date-parts" : [ [ "1999" ] ] }, "page" : "333-351", "publisher" : "Informa Healthcare", "title" : "Eight thousand years of economic and political history in Latin America revealed by anthropometry.", "type" : "article-journal", "volume" : "26" }, "uris" : [ "http://www.mendeley.com/documents/?uuid=c2c77e28-1354-426c-ae05-9d630f76c891" ] } ], "mendeley" : { "previouslyFormattedCitation" : "(Bogin and Keep, 1999)" }, "properties" : { "noteIndex" : 0 }, "schema" : "https://github.com/citation-style-language/schema/raw/master/csl-citation.json" }</w:instrText>
      </w:r>
      <w:r w:rsidR="00834114" w:rsidRPr="005E7AA7">
        <w:rPr>
          <w:rFonts w:ascii="Garamond" w:hAnsi="Garamond"/>
          <w:bCs/>
          <w:sz w:val="22"/>
          <w:szCs w:val="22"/>
          <w:lang w:val="en-US"/>
        </w:rPr>
        <w:fldChar w:fldCharType="separate"/>
      </w:r>
      <w:r w:rsidR="00834114" w:rsidRPr="005E7AA7">
        <w:rPr>
          <w:rFonts w:ascii="Garamond" w:hAnsi="Garamond"/>
          <w:bCs/>
          <w:noProof/>
          <w:sz w:val="22"/>
          <w:szCs w:val="22"/>
          <w:lang w:val="en-US"/>
        </w:rPr>
        <w:t>(Bogin and Keep, 1999)</w:t>
      </w:r>
      <w:r w:rsidR="00834114" w:rsidRPr="005E7AA7">
        <w:rPr>
          <w:rFonts w:ascii="Garamond" w:hAnsi="Garamond"/>
          <w:bCs/>
          <w:sz w:val="22"/>
          <w:szCs w:val="22"/>
          <w:lang w:val="en-US"/>
        </w:rPr>
        <w:fldChar w:fldCharType="end"/>
      </w:r>
      <w:r w:rsidR="008C3748" w:rsidRPr="005E7AA7">
        <w:rPr>
          <w:rFonts w:ascii="Garamond" w:hAnsi="Garamond"/>
          <w:bCs/>
          <w:sz w:val="22"/>
          <w:szCs w:val="22"/>
          <w:lang w:val="en-US"/>
        </w:rPr>
        <w:t xml:space="preserve">.  </w:t>
      </w:r>
      <w:r w:rsidR="00053CC0" w:rsidRPr="005E7AA7">
        <w:rPr>
          <w:rFonts w:ascii="Garamond" w:hAnsi="Garamond"/>
          <w:bCs/>
          <w:sz w:val="22"/>
          <w:szCs w:val="22"/>
          <w:lang w:val="en-US"/>
        </w:rPr>
        <w:t xml:space="preserve"> </w:t>
      </w:r>
    </w:p>
    <w:p w:rsidR="00387696" w:rsidRPr="005E7AA7" w:rsidRDefault="00963F94" w:rsidP="0085288C">
      <w:pPr>
        <w:rPr>
          <w:rFonts w:ascii="Garamond" w:hAnsi="Garamond"/>
          <w:bCs/>
          <w:sz w:val="22"/>
          <w:szCs w:val="22"/>
          <w:lang w:val="en-US"/>
        </w:rPr>
      </w:pPr>
      <w:r w:rsidRPr="005E7AA7">
        <w:rPr>
          <w:rFonts w:ascii="Garamond" w:hAnsi="Garamond"/>
          <w:bCs/>
          <w:sz w:val="22"/>
          <w:szCs w:val="22"/>
          <w:lang w:val="en-US"/>
        </w:rPr>
        <w:t>M</w:t>
      </w:r>
      <w:r w:rsidR="001B7C6C" w:rsidRPr="005E7AA7">
        <w:rPr>
          <w:rFonts w:ascii="Garamond" w:hAnsi="Garamond"/>
          <w:bCs/>
          <w:sz w:val="22"/>
          <w:szCs w:val="22"/>
          <w:lang w:val="en-US"/>
        </w:rPr>
        <w:t xml:space="preserve">aya </w:t>
      </w:r>
      <w:r w:rsidRPr="005E7AA7">
        <w:rPr>
          <w:rFonts w:ascii="Garamond" w:hAnsi="Garamond"/>
          <w:bCs/>
          <w:sz w:val="22"/>
          <w:szCs w:val="22"/>
          <w:lang w:val="en-US"/>
        </w:rPr>
        <w:t>adults and children measured in the early to mid-20</w:t>
      </w:r>
      <w:r w:rsidRPr="005E7AA7">
        <w:rPr>
          <w:rFonts w:ascii="Garamond" w:hAnsi="Garamond"/>
          <w:bCs/>
          <w:sz w:val="22"/>
          <w:szCs w:val="22"/>
          <w:vertAlign w:val="superscript"/>
          <w:lang w:val="en-US"/>
        </w:rPr>
        <w:t>th</w:t>
      </w:r>
      <w:r w:rsidRPr="005E7AA7">
        <w:rPr>
          <w:rFonts w:ascii="Garamond" w:hAnsi="Garamond"/>
          <w:bCs/>
          <w:sz w:val="22"/>
          <w:szCs w:val="22"/>
          <w:lang w:val="en-US"/>
        </w:rPr>
        <w:t xml:space="preserve"> Century were </w:t>
      </w:r>
      <w:r w:rsidR="001B7C6C" w:rsidRPr="005E7AA7">
        <w:rPr>
          <w:rFonts w:ascii="Garamond" w:hAnsi="Garamond"/>
          <w:bCs/>
          <w:sz w:val="22"/>
          <w:szCs w:val="22"/>
          <w:lang w:val="en-US"/>
        </w:rPr>
        <w:t>usually thin</w:t>
      </w:r>
      <w:r w:rsidRPr="005E7AA7">
        <w:rPr>
          <w:rFonts w:ascii="Garamond" w:hAnsi="Garamond"/>
          <w:bCs/>
          <w:sz w:val="22"/>
          <w:szCs w:val="22"/>
          <w:lang w:val="en-US"/>
        </w:rPr>
        <w:t>, with very low body fat. The combination of short stature and t</w:t>
      </w:r>
      <w:r w:rsidR="00324035" w:rsidRPr="005E7AA7">
        <w:rPr>
          <w:rFonts w:ascii="Garamond" w:hAnsi="Garamond"/>
          <w:bCs/>
          <w:sz w:val="22"/>
          <w:szCs w:val="22"/>
          <w:lang w:val="en-US"/>
        </w:rPr>
        <w:t>h</w:t>
      </w:r>
      <w:r w:rsidRPr="005E7AA7">
        <w:rPr>
          <w:rFonts w:ascii="Garamond" w:hAnsi="Garamond"/>
          <w:bCs/>
          <w:sz w:val="22"/>
          <w:szCs w:val="22"/>
          <w:lang w:val="en-US"/>
        </w:rPr>
        <w:t>inness were indications of an inadequate diet. Surveys in rural Guatemala Maya villages in the 1950s-1960s found that total energy intake averaged only 87</w:t>
      </w:r>
      <w:r w:rsidR="00324035" w:rsidRPr="005E7AA7">
        <w:rPr>
          <w:rFonts w:ascii="Garamond" w:hAnsi="Garamond"/>
          <w:bCs/>
          <w:sz w:val="22"/>
          <w:szCs w:val="22"/>
          <w:lang w:val="en-US"/>
        </w:rPr>
        <w:t>%</w:t>
      </w:r>
      <w:r w:rsidRPr="005E7AA7">
        <w:rPr>
          <w:rFonts w:ascii="Garamond" w:hAnsi="Garamond"/>
          <w:bCs/>
          <w:sz w:val="22"/>
          <w:szCs w:val="22"/>
          <w:lang w:val="en-US"/>
        </w:rPr>
        <w:t xml:space="preserve"> of</w:t>
      </w:r>
      <w:r w:rsidR="00880A03" w:rsidRPr="005E7AA7">
        <w:rPr>
          <w:rFonts w:ascii="Garamond" w:hAnsi="Garamond"/>
          <w:bCs/>
          <w:sz w:val="22"/>
          <w:szCs w:val="22"/>
          <w:lang w:val="en-US"/>
        </w:rPr>
        <w:t xml:space="preserve"> requirement, with less than 15</w:t>
      </w:r>
      <w:r w:rsidR="00324035" w:rsidRPr="005E7AA7">
        <w:rPr>
          <w:rFonts w:ascii="Garamond" w:hAnsi="Garamond"/>
          <w:bCs/>
          <w:sz w:val="22"/>
          <w:szCs w:val="22"/>
          <w:lang w:val="en-US"/>
        </w:rPr>
        <w:t>%</w:t>
      </w:r>
      <w:r w:rsidRPr="005E7AA7">
        <w:rPr>
          <w:rFonts w:ascii="Garamond" w:hAnsi="Garamond"/>
          <w:bCs/>
          <w:sz w:val="22"/>
          <w:szCs w:val="22"/>
          <w:lang w:val="en-US"/>
        </w:rPr>
        <w:t xml:space="preserve"> </w:t>
      </w:r>
      <w:r w:rsidR="00880A03" w:rsidRPr="005E7AA7">
        <w:rPr>
          <w:rFonts w:ascii="Garamond" w:hAnsi="Garamond"/>
          <w:bCs/>
          <w:sz w:val="22"/>
          <w:szCs w:val="22"/>
          <w:lang w:val="en-US"/>
        </w:rPr>
        <w:t>of energy derived from fat or protein. T</w:t>
      </w:r>
      <w:r w:rsidRPr="005E7AA7">
        <w:rPr>
          <w:rFonts w:ascii="Garamond" w:hAnsi="Garamond"/>
          <w:bCs/>
          <w:sz w:val="22"/>
          <w:szCs w:val="22"/>
          <w:lang w:val="en-US"/>
        </w:rPr>
        <w:t xml:space="preserve">here were </w:t>
      </w:r>
      <w:r w:rsidR="00880A03" w:rsidRPr="005E7AA7">
        <w:rPr>
          <w:rFonts w:ascii="Garamond" w:hAnsi="Garamond"/>
          <w:bCs/>
          <w:sz w:val="22"/>
          <w:szCs w:val="22"/>
          <w:lang w:val="en-US"/>
        </w:rPr>
        <w:t xml:space="preserve">also </w:t>
      </w:r>
      <w:r w:rsidRPr="005E7AA7">
        <w:rPr>
          <w:rFonts w:ascii="Garamond" w:hAnsi="Garamond"/>
          <w:bCs/>
          <w:sz w:val="22"/>
          <w:szCs w:val="22"/>
          <w:lang w:val="en-US"/>
        </w:rPr>
        <w:t>deficiencies of riboflavin (vitamin B</w:t>
      </w:r>
      <w:r w:rsidRPr="005E7AA7">
        <w:rPr>
          <w:rFonts w:ascii="Garamond" w:hAnsi="Garamond"/>
          <w:bCs/>
          <w:sz w:val="22"/>
          <w:szCs w:val="22"/>
          <w:vertAlign w:val="subscript"/>
          <w:lang w:val="en-US"/>
        </w:rPr>
        <w:t>2</w:t>
      </w:r>
      <w:r w:rsidRPr="005E7AA7">
        <w:rPr>
          <w:rFonts w:ascii="Garamond" w:hAnsi="Garamond"/>
          <w:bCs/>
          <w:sz w:val="22"/>
          <w:szCs w:val="22"/>
          <w:lang w:val="en-US"/>
        </w:rPr>
        <w:t xml:space="preserve">), </w:t>
      </w:r>
      <w:r w:rsidR="00880A03" w:rsidRPr="005E7AA7">
        <w:rPr>
          <w:rFonts w:ascii="Garamond" w:hAnsi="Garamond"/>
          <w:bCs/>
          <w:sz w:val="22"/>
          <w:szCs w:val="22"/>
          <w:lang w:val="en-US"/>
        </w:rPr>
        <w:t xml:space="preserve">niacin (vitamin B3), and vitamin C </w:t>
      </w:r>
      <w:r w:rsidR="00880A03"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"ISSN" : "0379-5721", "PMID" : "19227052", "abstract" : "BACKGROUND: Food patterns of population groups change and adapt under the influence of several factors, including those related to globalization, urbanization, and the nutrition transition. OBJECTIVE: To document changes in food consumption and dietary patterns of Guatemalans, based on food surveys from the middle of the 20th century and the beginning of the 21st century. METHODS: We accessed archival dietary data from surveys conducted in nine rural or semirural traditional Guatemalan communities in the 1950s and from two studies of nonindigenous Guatemalans and Guatemalans of Mayan descent conducted after 1998. The total number and types of food items and the nutrient intakes from the two eras were compared. RESULTS: We identified 210 distinct food items across time, including 108 items consumed in traditional indigenous and nonindigenous Guatemalan communities (\"old\" foods), of which 72% were still consumed by nonindigenous Guatemalans and 76% were still consumed by Mayan Guatemalans. Processed foods represented only 11% of the items consumed in traditional Guatemalan communities but 30% of those consumed by nonindigenous Guatemalans and 25% of those consumed by Mayan Guatemalans. The proportions of carbohydrates, fats, and proteins as percentages of total energy were 79:9:12 among traditional Guatemalan communities, 67:20:13 among nonindigenous Guatemalans, and 61:27:12 among Mayan Guatemalans. CONCLUSIONS: Changes in Guatemalan food patterns and in nutrient intakes are marked by increased food variety, at the expense of reduction in the consumption of nutrient-dense foods and increase in the consumption of processed foods. Such changes are consistent with those observed in other societies, where a combination of forces associated with demographic, epidemiologic, and nutritional transitions is occurring within the dynamics of urbanization and globalization phenomena that characterize contemporary times.", "author" : [ { "dropping-particle" : "", "family" : "Bermudez", "given" : "Odilia I", "non-dropping-particle" : "", "parse-names" : false, "suffix" : "" }, { "dropping-particle" : "", "family" : "Hernandez", "given" : "Liza", "non-dropping-particle" : "", "parse-names" : false, "suffix" : "" }, { "dropping-particle" : "", "family" : "Mazariegos", "given" : "Manolo", "non-dropping-particle" : "", "parse-names" : false, "suffix" : "" }, { "dropping-particle" : "", "family" : "Solomons", "given" : "Noel W", "non-dropping-particle" : "", "parse-names" : false, "suffix" : "" } ], "container-title" : "Food and nutrition bulletin", "id" : "ITEM-1", "issue" : "4", "issued" : { "date-parts" : [ [ "2008", "12" ] ] }, "page" : "278-87", "title" : "Secular trends in food patterns of Guatemalan consumers: new foods for old.", "type" : "article-journal", "volume" : "29" }, "uris" : [ "http://www.mendeley.com/documents/?uuid=775f46f9-d455-4b88-867f-ebf68d5cd20d" ] }, { "id" : "ITEM-2", "itemData" : { "ISBN" : "0199738149", "author" : [ { "dropping-particle" : "", "family" : "Bogin", "given" : "Barry", "non-dropping-particle" : "", "parse-names" : false, "suffix" : "" } ], "chapter-number" : "27", "container-title" : "Nutritional Anthropology: Biocultural Perspectives on Food and Nutrition", "edition" : "Second", "editor" : [ { "dropping-particle" : "", "family" : "Dufour", "given" : "Darna L.", "non-dropping-particle" : "", "parse-names" : false, "suffix" : "" }, { "dropping-particle" : "", "family" : "Goodman", "given" : "Alan H.", "non-dropping-particle" : "", "parse-names" : false, "suffix" : "" }, { "dropping-particle" : "", "family" : "Pelto", "given" : "Gretel H.", "non-dropping-particle" : "", "parse-names" : false, "suffix" : "" } ], "id" : "ITEM-2", "issued" : { "date-parts" : [ [ "2013" ] ] }, "page" : "231-244", "publisher" : "Oxford University Press", "publisher-place" : "Oxford", "title" : "The Maya in Disneyland: Child Growth as a Marker of Nutritional, Economic, and Political Ecology", "type" : "chapter" }, "uris" : [ "http://www.mendeley.com/documents/?uuid=6d493b72-3f6d-4e58-8a8c-0d1c2ecad13a" ] } ], "mendeley" : { "previouslyFormattedCitation" : "(Bermudez et al., 2008; Bogin, 2013)" }, "properties" : { "noteIndex" : 0 }, "schema" : "https://github.com/citation-style-language/schema/raw/master/csl-citation.json" }</w:instrText>
      </w:r>
      <w:r w:rsidR="00880A03" w:rsidRPr="005E7AA7">
        <w:rPr>
          <w:rFonts w:ascii="Garamond" w:hAnsi="Garamond"/>
          <w:bCs/>
          <w:sz w:val="22"/>
          <w:szCs w:val="22"/>
          <w:lang w:val="en-US"/>
        </w:rPr>
        <w:fldChar w:fldCharType="separate"/>
      </w:r>
      <w:r w:rsidR="00880A03" w:rsidRPr="005E7AA7">
        <w:rPr>
          <w:rFonts w:ascii="Garamond" w:hAnsi="Garamond"/>
          <w:bCs/>
          <w:noProof/>
          <w:sz w:val="22"/>
          <w:szCs w:val="22"/>
          <w:lang w:val="en-US"/>
        </w:rPr>
        <w:t>(Bermudez et al., 2008; Bogin, 2013)</w:t>
      </w:r>
      <w:r w:rsidR="00880A03" w:rsidRPr="005E7AA7">
        <w:rPr>
          <w:rFonts w:ascii="Garamond" w:hAnsi="Garamond"/>
          <w:bCs/>
          <w:sz w:val="22"/>
          <w:szCs w:val="22"/>
          <w:lang w:val="en-US"/>
        </w:rPr>
        <w:fldChar w:fldCharType="end"/>
      </w:r>
      <w:r w:rsidR="00880A03" w:rsidRPr="005E7AA7">
        <w:rPr>
          <w:rFonts w:ascii="Garamond" w:hAnsi="Garamond"/>
          <w:bCs/>
          <w:sz w:val="22"/>
          <w:szCs w:val="22"/>
          <w:lang w:val="en-US"/>
        </w:rPr>
        <w:t>.</w:t>
      </w:r>
      <w:r w:rsidR="002760F0" w:rsidRPr="005E7AA7">
        <w:rPr>
          <w:rFonts w:ascii="Garamond" w:hAnsi="Garamond"/>
          <w:bCs/>
          <w:sz w:val="22"/>
          <w:szCs w:val="22"/>
          <w:lang w:val="en-US"/>
        </w:rPr>
        <w:t xml:space="preserve"> </w:t>
      </w:r>
      <w:r w:rsidR="0061660B" w:rsidRPr="005E7AA7">
        <w:rPr>
          <w:rFonts w:ascii="Garamond" w:hAnsi="Garamond"/>
          <w:bCs/>
          <w:sz w:val="22"/>
          <w:szCs w:val="22"/>
          <w:lang w:val="en-US"/>
        </w:rPr>
        <w:t>The</w:t>
      </w:r>
      <w:r w:rsidR="00387696" w:rsidRPr="005E7AA7">
        <w:rPr>
          <w:rFonts w:ascii="Garamond" w:hAnsi="Garamond"/>
          <w:bCs/>
          <w:sz w:val="22"/>
          <w:szCs w:val="22"/>
          <w:lang w:val="en-US"/>
        </w:rPr>
        <w:t>s</w:t>
      </w:r>
      <w:r w:rsidR="0061660B" w:rsidRPr="005E7AA7">
        <w:rPr>
          <w:rFonts w:ascii="Garamond" w:hAnsi="Garamond"/>
          <w:bCs/>
          <w:sz w:val="22"/>
          <w:szCs w:val="22"/>
          <w:lang w:val="en-US"/>
        </w:rPr>
        <w:t>e</w:t>
      </w:r>
      <w:r w:rsidR="00387696" w:rsidRPr="005E7AA7">
        <w:rPr>
          <w:rFonts w:ascii="Garamond" w:hAnsi="Garamond"/>
          <w:bCs/>
          <w:sz w:val="22"/>
          <w:szCs w:val="22"/>
          <w:lang w:val="en-US"/>
        </w:rPr>
        <w:t xml:space="preserve"> </w:t>
      </w:r>
      <w:r w:rsidR="0061660B" w:rsidRPr="005E7AA7">
        <w:rPr>
          <w:rFonts w:ascii="Garamond" w:hAnsi="Garamond"/>
          <w:bCs/>
          <w:sz w:val="22"/>
          <w:szCs w:val="22"/>
          <w:lang w:val="en-US"/>
        </w:rPr>
        <w:t xml:space="preserve">Maya </w:t>
      </w:r>
      <w:r w:rsidR="00387696" w:rsidRPr="005E7AA7">
        <w:rPr>
          <w:rFonts w:ascii="Garamond" w:hAnsi="Garamond"/>
          <w:bCs/>
          <w:sz w:val="22"/>
          <w:szCs w:val="22"/>
          <w:lang w:val="en-US"/>
        </w:rPr>
        <w:t>diet</w:t>
      </w:r>
      <w:r w:rsidR="0061660B" w:rsidRPr="005E7AA7">
        <w:rPr>
          <w:rFonts w:ascii="Garamond" w:hAnsi="Garamond"/>
          <w:bCs/>
          <w:sz w:val="22"/>
          <w:szCs w:val="22"/>
          <w:lang w:val="en-US"/>
        </w:rPr>
        <w:t>s</w:t>
      </w:r>
      <w:r w:rsidR="00387696" w:rsidRPr="005E7AA7">
        <w:rPr>
          <w:rFonts w:ascii="Garamond" w:hAnsi="Garamond"/>
          <w:bCs/>
          <w:sz w:val="22"/>
          <w:szCs w:val="22"/>
          <w:lang w:val="en-US"/>
        </w:rPr>
        <w:t xml:space="preserve"> would result in both short stature and thinness, especially as </w:t>
      </w:r>
      <w:r w:rsidR="0061660B" w:rsidRPr="005E7AA7">
        <w:rPr>
          <w:rFonts w:ascii="Garamond" w:hAnsi="Garamond"/>
          <w:bCs/>
          <w:sz w:val="22"/>
          <w:szCs w:val="22"/>
          <w:lang w:val="en-US"/>
        </w:rPr>
        <w:t>the diets were</w:t>
      </w:r>
      <w:r w:rsidR="00387696" w:rsidRPr="005E7AA7">
        <w:rPr>
          <w:rFonts w:ascii="Garamond" w:hAnsi="Garamond"/>
          <w:bCs/>
          <w:sz w:val="22"/>
          <w:szCs w:val="22"/>
          <w:lang w:val="en-US"/>
        </w:rPr>
        <w:t xml:space="preserve"> combined with heavy workloads and recurrent respiratory and gastrointestinal infections</w:t>
      </w:r>
      <w:r w:rsidR="00510DD3" w:rsidRPr="005E7AA7">
        <w:rPr>
          <w:rFonts w:ascii="Garamond" w:hAnsi="Garamond"/>
          <w:bCs/>
          <w:sz w:val="22"/>
          <w:szCs w:val="22"/>
          <w:lang w:val="en-US"/>
        </w:rPr>
        <w:t>. In addition,</w:t>
      </w:r>
      <w:r w:rsidR="00387696" w:rsidRPr="005E7AA7">
        <w:rPr>
          <w:rFonts w:ascii="Garamond" w:hAnsi="Garamond"/>
          <w:bCs/>
          <w:sz w:val="22"/>
          <w:szCs w:val="22"/>
          <w:lang w:val="en-US"/>
        </w:rPr>
        <w:t xml:space="preserve"> periodic epidemics of measles reduced nutrients available for body growth</w:t>
      </w:r>
      <w:r w:rsidR="00510DD3" w:rsidRPr="005E7AA7">
        <w:rPr>
          <w:rFonts w:ascii="Garamond" w:hAnsi="Garamond"/>
          <w:bCs/>
          <w:sz w:val="22"/>
          <w:szCs w:val="22"/>
          <w:lang w:val="en-US"/>
        </w:rPr>
        <w:t xml:space="preserve"> </w:t>
      </w:r>
      <w:r w:rsidR="00510DD3"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"ISBN" : "0199738149", "author" : [ { "dropping-particle" : "", "family" : "Bogin", "given" : "Barry", "non-dropping-particle" : "", "parse-names" : false, "suffix" : "" } ], "chapter-number" : "27", "container-title" : "Nutritional Anthropology: Biocultural Perspectives on Food and Nutrition", "edition" : "Second", "editor" : [ { "dropping-particle" : "", "family" : "Dufour", "given" : "Darna L.", "non-dropping-particle" : "", "parse-names" : false, "suffix" : "" }, { "dropping-particle" : "", "family" : "Goodman", "given" : "Alan H.", "non-dropping-particle" : "", "parse-names" : false, "suffix" : "" }, { "dropping-particle" : "", "family" : "Pelto", "given" : "Gretel H.", "non-dropping-particle" : "", "parse-names" : false, "suffix" : "" } ], "id" : "ITEM-1", "issued" : { "date-parts" : [ [ "2013" ] ] }, "page" : "231-244", "publisher" : "Oxford University Press", "publisher-place" : "Oxford", "title" : "The Maya in Disneyland: Child Growth as a Marker of Nutritional, Economic, and Political Ecology", "type" : "chapter" }, "uris" : [ "http://www.mendeley.com/documents/?uuid=6d493b72-3f6d-4e58-8a8c-0d1c2ecad13a" ] } ], "mendeley" : { "previouslyFormattedCitation" : "(Bogin, 2013)" }, "properties" : { "noteIndex" : 0 }, "schema" : "https://github.com/citation-style-language/schema/raw/master/csl-citation.json" }</w:instrText>
      </w:r>
      <w:r w:rsidR="00510DD3" w:rsidRPr="005E7AA7">
        <w:rPr>
          <w:rFonts w:ascii="Garamond" w:hAnsi="Garamond"/>
          <w:bCs/>
          <w:sz w:val="22"/>
          <w:szCs w:val="22"/>
          <w:lang w:val="en-US"/>
        </w:rPr>
        <w:fldChar w:fldCharType="separate"/>
      </w:r>
      <w:r w:rsidR="00510DD3" w:rsidRPr="005E7AA7">
        <w:rPr>
          <w:rFonts w:ascii="Garamond" w:hAnsi="Garamond"/>
          <w:bCs/>
          <w:noProof/>
          <w:sz w:val="22"/>
          <w:szCs w:val="22"/>
          <w:lang w:val="en-US"/>
        </w:rPr>
        <w:t>(Bogin, 2013)</w:t>
      </w:r>
      <w:r w:rsidR="00510DD3" w:rsidRPr="005E7AA7">
        <w:rPr>
          <w:rFonts w:ascii="Garamond" w:hAnsi="Garamond"/>
          <w:bCs/>
          <w:sz w:val="22"/>
          <w:szCs w:val="22"/>
          <w:lang w:val="en-US"/>
        </w:rPr>
        <w:fldChar w:fldCharType="end"/>
      </w:r>
      <w:r w:rsidR="00387696" w:rsidRPr="005E7AA7">
        <w:rPr>
          <w:rFonts w:ascii="Garamond" w:hAnsi="Garamond"/>
          <w:bCs/>
          <w:sz w:val="22"/>
          <w:szCs w:val="22"/>
          <w:lang w:val="en-US"/>
        </w:rPr>
        <w:t xml:space="preserve">. </w:t>
      </w:r>
    </w:p>
    <w:p w:rsidR="00DD61CF" w:rsidRPr="005E7AA7" w:rsidRDefault="00DD61CF" w:rsidP="008E1D69">
      <w:pPr>
        <w:tabs>
          <w:tab w:val="left" w:pos="567"/>
        </w:tabs>
        <w:rPr>
          <w:rFonts w:ascii="Garamond" w:hAnsi="Garamond"/>
          <w:bCs/>
          <w:sz w:val="22"/>
          <w:szCs w:val="22"/>
          <w:lang w:val="en-US"/>
        </w:rPr>
      </w:pPr>
      <w:r w:rsidRPr="005E7AA7">
        <w:rPr>
          <w:rFonts w:ascii="Garamond" w:hAnsi="Garamond"/>
          <w:bCs/>
          <w:sz w:val="22"/>
          <w:szCs w:val="22"/>
          <w:lang w:val="en-US"/>
        </w:rPr>
        <w:t>By the early 21</w:t>
      </w:r>
      <w:r w:rsidRPr="005E7AA7">
        <w:rPr>
          <w:rFonts w:ascii="Garamond" w:hAnsi="Garamond"/>
          <w:bCs/>
          <w:sz w:val="22"/>
          <w:szCs w:val="22"/>
          <w:vertAlign w:val="superscript"/>
          <w:lang w:val="en-US"/>
        </w:rPr>
        <w:t>st</w:t>
      </w:r>
      <w:r w:rsidRPr="005E7AA7">
        <w:rPr>
          <w:rFonts w:ascii="Garamond" w:hAnsi="Garamond"/>
          <w:bCs/>
          <w:sz w:val="22"/>
          <w:szCs w:val="22"/>
          <w:lang w:val="en-US"/>
        </w:rPr>
        <w:t xml:space="preserve"> Century the relationship of weight to height for Maya children and adults changed. Based on a cross-sectional survey conducted in Merida in 2006,</w:t>
      </w:r>
      <w:r w:rsidR="00E7424F" w:rsidRPr="005E7AA7">
        <w:rPr>
          <w:rFonts w:ascii="Garamond" w:hAnsi="Garamond"/>
          <w:bCs/>
          <w:sz w:val="22"/>
          <w:szCs w:val="22"/>
          <w:lang w:val="en-US"/>
        </w:rPr>
        <w:t xml:space="preserve"> we f</w:t>
      </w:r>
      <w:r w:rsidR="008E1D69" w:rsidRPr="005E7AA7">
        <w:rPr>
          <w:rFonts w:ascii="Garamond" w:hAnsi="Garamond"/>
          <w:bCs/>
          <w:sz w:val="22"/>
          <w:szCs w:val="22"/>
          <w:lang w:val="en-US"/>
        </w:rPr>
        <w:t>oun</w:t>
      </w:r>
      <w:r w:rsidR="00E7424F" w:rsidRPr="005E7AA7">
        <w:rPr>
          <w:rFonts w:ascii="Garamond" w:hAnsi="Garamond"/>
          <w:bCs/>
          <w:sz w:val="22"/>
          <w:szCs w:val="22"/>
          <w:lang w:val="en-US"/>
        </w:rPr>
        <w:t xml:space="preserve">d that Maya mothers </w:t>
      </w:r>
      <w:r w:rsidRPr="005E7AA7">
        <w:rPr>
          <w:rFonts w:ascii="Garamond" w:hAnsi="Garamond"/>
          <w:bCs/>
          <w:sz w:val="22"/>
          <w:szCs w:val="22"/>
          <w:lang w:val="en-US"/>
        </w:rPr>
        <w:t>remain</w:t>
      </w:r>
      <w:r w:rsidR="009B4930" w:rsidRPr="005E7AA7">
        <w:rPr>
          <w:rFonts w:ascii="Garamond" w:hAnsi="Garamond"/>
          <w:bCs/>
          <w:sz w:val="22"/>
          <w:szCs w:val="22"/>
          <w:lang w:val="en-US"/>
        </w:rPr>
        <w:t>ed</w:t>
      </w:r>
      <w:r w:rsidR="00E7424F" w:rsidRPr="005E7AA7">
        <w:rPr>
          <w:rFonts w:ascii="Garamond" w:hAnsi="Garamond"/>
          <w:bCs/>
          <w:sz w:val="22"/>
          <w:szCs w:val="22"/>
          <w:lang w:val="en-US"/>
        </w:rPr>
        <w:t xml:space="preserve"> short, with</w:t>
      </w:r>
      <w:r w:rsidRPr="005E7AA7">
        <w:rPr>
          <w:rFonts w:ascii="Garamond" w:hAnsi="Garamond"/>
          <w:bCs/>
          <w:sz w:val="22"/>
          <w:szCs w:val="22"/>
          <w:lang w:val="en-US"/>
        </w:rPr>
        <w:t xml:space="preserve"> </w:t>
      </w:r>
      <w:r w:rsidR="00E7424F" w:rsidRPr="005E7AA7">
        <w:rPr>
          <w:rFonts w:ascii="Garamond" w:hAnsi="Garamond"/>
          <w:bCs/>
          <w:sz w:val="22"/>
          <w:szCs w:val="22"/>
          <w:lang w:val="en-US"/>
        </w:rPr>
        <w:t>69.4</w:t>
      </w:r>
      <w:r w:rsidR="00324035" w:rsidRPr="005E7AA7">
        <w:rPr>
          <w:rFonts w:ascii="Garamond" w:hAnsi="Garamond"/>
          <w:bCs/>
          <w:sz w:val="22"/>
          <w:szCs w:val="22"/>
          <w:lang w:val="en-US"/>
        </w:rPr>
        <w:t>%</w:t>
      </w:r>
      <w:r w:rsidR="00E7424F" w:rsidRPr="005E7AA7">
        <w:rPr>
          <w:rFonts w:ascii="Garamond" w:hAnsi="Garamond"/>
          <w:bCs/>
          <w:sz w:val="22"/>
          <w:szCs w:val="22"/>
          <w:lang w:val="en-US"/>
        </w:rPr>
        <w:t xml:space="preserve"> of the 206 women measured below 150 </w:t>
      </w:r>
      <w:r w:rsidRPr="005E7AA7">
        <w:rPr>
          <w:rFonts w:ascii="Garamond" w:hAnsi="Garamond"/>
          <w:bCs/>
          <w:sz w:val="22"/>
          <w:szCs w:val="22"/>
          <w:lang w:val="en-US"/>
        </w:rPr>
        <w:t>cm</w:t>
      </w:r>
      <w:r w:rsidR="00E7424F" w:rsidRPr="005E7AA7">
        <w:rPr>
          <w:rFonts w:ascii="Garamond" w:hAnsi="Garamond"/>
          <w:bCs/>
          <w:sz w:val="22"/>
          <w:szCs w:val="22"/>
          <w:lang w:val="en-US"/>
        </w:rPr>
        <w:t xml:space="preserve">. Stunting </w:t>
      </w:r>
      <w:r w:rsidRPr="005E7AA7">
        <w:rPr>
          <w:rFonts w:ascii="Garamond" w:hAnsi="Garamond"/>
          <w:bCs/>
          <w:sz w:val="22"/>
          <w:szCs w:val="22"/>
          <w:lang w:val="en-US"/>
        </w:rPr>
        <w:t>was</w:t>
      </w:r>
      <w:r w:rsidR="00E7424F" w:rsidRPr="005E7AA7">
        <w:rPr>
          <w:rFonts w:ascii="Garamond" w:hAnsi="Garamond"/>
          <w:bCs/>
          <w:sz w:val="22"/>
          <w:szCs w:val="22"/>
          <w:lang w:val="en-US"/>
        </w:rPr>
        <w:t xml:space="preserve"> detected in 21</w:t>
      </w:r>
      <w:r w:rsidR="00324035" w:rsidRPr="005E7AA7">
        <w:rPr>
          <w:rFonts w:ascii="Garamond" w:hAnsi="Garamond"/>
          <w:bCs/>
          <w:sz w:val="22"/>
          <w:szCs w:val="22"/>
          <w:lang w:val="en-US"/>
        </w:rPr>
        <w:t>%</w:t>
      </w:r>
      <w:r w:rsidR="00E7424F" w:rsidRPr="005E7AA7">
        <w:rPr>
          <w:rFonts w:ascii="Garamond" w:hAnsi="Garamond"/>
          <w:bCs/>
          <w:sz w:val="22"/>
          <w:szCs w:val="22"/>
          <w:lang w:val="en-US"/>
        </w:rPr>
        <w:t xml:space="preserve"> of their children</w:t>
      </w:r>
      <w:r w:rsidR="008E1D69" w:rsidRPr="005E7AA7">
        <w:rPr>
          <w:rFonts w:ascii="Garamond" w:hAnsi="Garamond"/>
          <w:bCs/>
          <w:sz w:val="22"/>
          <w:szCs w:val="22"/>
          <w:lang w:val="en-US"/>
        </w:rPr>
        <w:t>, aged 4.0-6.9 years old,</w:t>
      </w:r>
      <w:r w:rsidR="00E7424F" w:rsidRPr="005E7AA7">
        <w:rPr>
          <w:rFonts w:ascii="Garamond" w:hAnsi="Garamond"/>
          <w:bCs/>
          <w:sz w:val="22"/>
          <w:szCs w:val="22"/>
          <w:lang w:val="en-US"/>
        </w:rPr>
        <w:t xml:space="preserve"> and</w:t>
      </w:r>
      <w:r w:rsidRPr="005E7AA7">
        <w:rPr>
          <w:rFonts w:ascii="Garamond" w:hAnsi="Garamond"/>
          <w:bCs/>
          <w:sz w:val="22"/>
          <w:szCs w:val="22"/>
          <w:lang w:val="en-US"/>
        </w:rPr>
        <w:t xml:space="preserve"> </w:t>
      </w:r>
      <w:r w:rsidR="00E7424F" w:rsidRPr="005E7AA7">
        <w:rPr>
          <w:rFonts w:ascii="Garamond" w:hAnsi="Garamond"/>
          <w:bCs/>
          <w:sz w:val="22"/>
          <w:szCs w:val="22"/>
          <w:lang w:val="en-US"/>
        </w:rPr>
        <w:t>overweight in 33</w:t>
      </w:r>
      <w:r w:rsidR="00324035" w:rsidRPr="005E7AA7">
        <w:rPr>
          <w:rFonts w:ascii="Garamond" w:hAnsi="Garamond"/>
          <w:bCs/>
          <w:sz w:val="22"/>
          <w:szCs w:val="22"/>
          <w:lang w:val="en-US"/>
        </w:rPr>
        <w:t>%</w:t>
      </w:r>
      <w:r w:rsidR="00E7424F" w:rsidRPr="005E7AA7">
        <w:rPr>
          <w:rFonts w:ascii="Garamond" w:hAnsi="Garamond"/>
          <w:bCs/>
          <w:sz w:val="22"/>
          <w:szCs w:val="22"/>
          <w:lang w:val="en-US"/>
        </w:rPr>
        <w:t>, with 2.4</w:t>
      </w:r>
      <w:r w:rsidR="00324035" w:rsidRPr="005E7AA7">
        <w:rPr>
          <w:rFonts w:ascii="Garamond" w:hAnsi="Garamond"/>
          <w:bCs/>
          <w:sz w:val="22"/>
          <w:szCs w:val="22"/>
          <w:lang w:val="en-US"/>
        </w:rPr>
        <w:t>%</w:t>
      </w:r>
      <w:r w:rsidR="00E7424F" w:rsidRPr="005E7AA7">
        <w:rPr>
          <w:rFonts w:ascii="Garamond" w:hAnsi="Garamond"/>
          <w:bCs/>
          <w:sz w:val="22"/>
          <w:szCs w:val="22"/>
          <w:lang w:val="en-US"/>
        </w:rPr>
        <w:t xml:space="preserve"> both stunted and overweight.</w:t>
      </w:r>
      <w:r w:rsidRPr="005E7AA7">
        <w:rPr>
          <w:rFonts w:ascii="Garamond" w:hAnsi="Garamond"/>
          <w:bCs/>
          <w:sz w:val="22"/>
          <w:szCs w:val="22"/>
          <w:lang w:val="en-US"/>
        </w:rPr>
        <w:t xml:space="preserve"> </w:t>
      </w:r>
      <w:r w:rsidR="00E7424F" w:rsidRPr="005E7AA7">
        <w:rPr>
          <w:rFonts w:ascii="Garamond" w:hAnsi="Garamond"/>
          <w:bCs/>
          <w:sz w:val="22"/>
          <w:szCs w:val="22"/>
          <w:lang w:val="en-US"/>
        </w:rPr>
        <w:t>Mother's</w:t>
      </w:r>
      <w:r w:rsidRPr="005E7AA7">
        <w:rPr>
          <w:rFonts w:ascii="Garamond" w:hAnsi="Garamond"/>
          <w:bCs/>
          <w:sz w:val="22"/>
          <w:szCs w:val="22"/>
          <w:lang w:val="en-US"/>
        </w:rPr>
        <w:t xml:space="preserve"> </w:t>
      </w:r>
      <w:r w:rsidR="00E7424F" w:rsidRPr="005E7AA7">
        <w:rPr>
          <w:rFonts w:ascii="Garamond" w:hAnsi="Garamond"/>
          <w:bCs/>
          <w:sz w:val="22"/>
          <w:szCs w:val="22"/>
          <w:lang w:val="en-US"/>
        </w:rPr>
        <w:t xml:space="preserve">height below 150 </w:t>
      </w:r>
      <w:r w:rsidRPr="005E7AA7">
        <w:rPr>
          <w:rFonts w:ascii="Garamond" w:hAnsi="Garamond"/>
          <w:bCs/>
          <w:sz w:val="22"/>
          <w:szCs w:val="22"/>
          <w:lang w:val="en-US"/>
        </w:rPr>
        <w:t>c</w:t>
      </w:r>
      <w:r w:rsidR="00E7424F" w:rsidRPr="005E7AA7">
        <w:rPr>
          <w:rFonts w:ascii="Garamond" w:hAnsi="Garamond"/>
          <w:bCs/>
          <w:sz w:val="22"/>
          <w:szCs w:val="22"/>
          <w:lang w:val="en-US"/>
        </w:rPr>
        <w:t>m and the child's birth weight below 3000</w:t>
      </w:r>
      <w:r w:rsidRPr="005E7AA7">
        <w:rPr>
          <w:rFonts w:ascii="Garamond" w:hAnsi="Garamond"/>
          <w:bCs/>
          <w:sz w:val="22"/>
          <w:szCs w:val="22"/>
          <w:lang w:val="en-US"/>
        </w:rPr>
        <w:t xml:space="preserve"> </w:t>
      </w:r>
      <w:r w:rsidR="00E7424F" w:rsidRPr="005E7AA7">
        <w:rPr>
          <w:rFonts w:ascii="Garamond" w:hAnsi="Garamond"/>
          <w:bCs/>
          <w:sz w:val="22"/>
          <w:szCs w:val="22"/>
          <w:lang w:val="en-US"/>
        </w:rPr>
        <w:t xml:space="preserve">grams both </w:t>
      </w:r>
      <w:r w:rsidR="008E1D69" w:rsidRPr="005E7AA7">
        <w:rPr>
          <w:rFonts w:ascii="Garamond" w:hAnsi="Garamond"/>
          <w:bCs/>
          <w:sz w:val="22"/>
          <w:szCs w:val="22"/>
          <w:lang w:val="en-US"/>
        </w:rPr>
        <w:t>wer</w:t>
      </w:r>
      <w:r w:rsidR="00E7424F" w:rsidRPr="005E7AA7">
        <w:rPr>
          <w:rFonts w:ascii="Garamond" w:hAnsi="Garamond"/>
          <w:bCs/>
          <w:sz w:val="22"/>
          <w:szCs w:val="22"/>
          <w:lang w:val="en-US"/>
        </w:rPr>
        <w:t>e statistically significant predictors of</w:t>
      </w:r>
      <w:r w:rsidRPr="005E7AA7">
        <w:rPr>
          <w:rFonts w:ascii="Garamond" w:hAnsi="Garamond"/>
          <w:bCs/>
          <w:sz w:val="22"/>
          <w:szCs w:val="22"/>
          <w:lang w:val="en-US"/>
        </w:rPr>
        <w:t xml:space="preserve"> </w:t>
      </w:r>
      <w:r w:rsidR="00E7424F" w:rsidRPr="005E7AA7">
        <w:rPr>
          <w:rFonts w:ascii="Garamond" w:hAnsi="Garamond"/>
          <w:bCs/>
          <w:sz w:val="22"/>
          <w:szCs w:val="22"/>
          <w:lang w:val="en-US"/>
        </w:rPr>
        <w:t xml:space="preserve">stunting in the </w:t>
      </w:r>
      <w:r w:rsidRPr="005E7AA7">
        <w:rPr>
          <w:rFonts w:ascii="Garamond" w:hAnsi="Garamond"/>
          <w:bCs/>
          <w:sz w:val="22"/>
          <w:szCs w:val="22"/>
          <w:lang w:val="en-US"/>
        </w:rPr>
        <w:t xml:space="preserve">child </w:t>
      </w:r>
      <w:r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"DOI" : "10.1002/ajhb.20883", "ISSN" : "1520-6300", "PMID" : "19214997", "abstract" : "In developing nations, obesity has increased dramatically in the last decade, but a high prevalence of stunting still coexists. The intergenerational influences hypothesis (IIH) is one explanation for this. We test the IIH regarding variation in maternal stature, mother's age at pregnancy, and infant birth weight in relation to risk for overweight and stunting in 206 Maya children (4-6 years old) from M\u00e9rida, Yucatan, Mexico. The Maya children are compared with growth references (Frisancho 2008: Anthropometric Standards: An Interactive Nutritional Reference of Body Size and Body Composition for Children and Adults. Ann Arbor, MI: The University of Michigan Press. 335 pp) for height, weight, and body mass index (BMI). Almost 70% of the mothers are shorter than 150 cm. Mothers' height and child's birth weight predict overweight. Children with a mother shorter than 150 cm are less than half as likely (OR = 0.44) to be overweight compared to children whose mothers are equal to or taller than 150 cm. Children with birth weights below 3,000 g are only a third as likely to be overweight (OR = 0.28) than their peers within the range of normal birth weight (3,000-3,500 g). Sex of the child, mother's height, and birth weight predict stunting. Girls are only 40% as likely as boys to be stunted. Children with a mother below 150 cm are 3.6 times more likely of being stunted. Children with birth weights below 3000 g are over 3 times more likely to be stunted relative to children with birth weights within the normal range. Mother's age at pregnancy is not a predictor of overweight or stunting. Our findings conform the IIH and with similar studies of populations undergoing nutritional/epidemiological transitions from traditional to globalized lifestyles.", "author" : [ { "dropping-particle" : "", "family" : "Varela-Silva", "given" : "Maria In\u00eas", "non-dropping-particle" : "", "parse-names" : false, "suffix" : "" }, { "dropping-particle" : "", "family" : "Azcorra", "given" : "Hugo", "non-dropping-particle" : "", "parse-names" : false, "suffix" : "" }, { "dropping-particle" : "", "family" : "Dickinson", "given" : "Federico", "non-dropping-particle" : "", "parse-names" : false, "suffix" : "" }, { "dropping-particle" : "", "family" : "Bogin", "given" : "Barry", "non-dropping-particle" : "", "parse-names" : false, "suffix" : "" }, { "dropping-particle" : "", "family" : "Frisancho", "given" : "a R", "non-dropping-particle" : "", "parse-names" : false, "suffix" : "" } ], "container-title" : "American Journal of Human Biology", "id" : "ITEM-1", "issue" : "5", "issued" : { "date-parts" : [ [ "2009" ] ] }, "page" : "657-63", "title" : "Influence of maternal stature, pregnancy age, and infant birth weight on growth during childhood in Yucatan, Mexico: a test of the intergenerational effects hypothesis.", "type" : "article-journal", "volume" : "21" }, "uris" : [ "http://www.mendeley.com/documents/?uuid=a4bafcb8-81b5-4e26-9619-a7b341e06b9a" ] } ], "mendeley" : { "previouslyFormattedCitation" : "(Varela-Silva et al., 2009)" }, "properties" : { "noteIndex" : 0 }, "schema" : "https://github.com/citation-style-language/schema/raw/master/csl-citation.json" }</w:instrText>
      </w:r>
      <w:r w:rsidRPr="005E7AA7">
        <w:rPr>
          <w:rFonts w:ascii="Garamond" w:hAnsi="Garamond"/>
          <w:bCs/>
          <w:sz w:val="22"/>
          <w:szCs w:val="22"/>
          <w:lang w:val="en-US"/>
        </w:rPr>
        <w:fldChar w:fldCharType="separate"/>
      </w:r>
      <w:r w:rsidRPr="005E7AA7">
        <w:rPr>
          <w:rFonts w:ascii="Garamond" w:hAnsi="Garamond"/>
          <w:bCs/>
          <w:noProof/>
          <w:sz w:val="22"/>
          <w:szCs w:val="22"/>
          <w:lang w:val="en-US"/>
        </w:rPr>
        <w:t>(Varela-Silva et al., 2009)</w:t>
      </w:r>
      <w:r w:rsidRPr="005E7AA7">
        <w:rPr>
          <w:rFonts w:ascii="Garamond" w:hAnsi="Garamond"/>
          <w:bCs/>
          <w:sz w:val="22"/>
          <w:szCs w:val="22"/>
          <w:lang w:val="en-US"/>
        </w:rPr>
        <w:fldChar w:fldCharType="end"/>
      </w:r>
      <w:r w:rsidR="00E7424F" w:rsidRPr="005E7AA7">
        <w:rPr>
          <w:rFonts w:ascii="Garamond" w:hAnsi="Garamond"/>
          <w:bCs/>
          <w:sz w:val="22"/>
          <w:szCs w:val="22"/>
          <w:lang w:val="en-US"/>
        </w:rPr>
        <w:t>.</w:t>
      </w:r>
      <w:r w:rsidR="00A21306" w:rsidRPr="005E7AA7">
        <w:rPr>
          <w:rFonts w:ascii="Garamond" w:hAnsi="Garamond"/>
          <w:bCs/>
          <w:sz w:val="22"/>
          <w:szCs w:val="22"/>
          <w:lang w:val="en-US"/>
        </w:rPr>
        <w:t xml:space="preserve"> We interpreted this to indicate that there is an intergenerational transmission of poor growth in this Maya sample. </w:t>
      </w:r>
    </w:p>
    <w:p w:rsidR="00E7424F" w:rsidRPr="005E7AA7" w:rsidRDefault="00E7424F" w:rsidP="005E7AA7">
      <w:pPr>
        <w:rPr>
          <w:rFonts w:ascii="Garamond" w:hAnsi="Garamond"/>
          <w:bCs/>
          <w:sz w:val="22"/>
          <w:szCs w:val="22"/>
          <w:lang w:val="en-US"/>
        </w:rPr>
      </w:pPr>
      <w:r w:rsidRPr="005E7AA7">
        <w:rPr>
          <w:rFonts w:ascii="Garamond" w:hAnsi="Garamond"/>
          <w:bCs/>
          <w:sz w:val="22"/>
          <w:szCs w:val="22"/>
          <w:lang w:val="en-US"/>
        </w:rPr>
        <w:t xml:space="preserve">In 2010 we collected </w:t>
      </w:r>
      <w:r w:rsidR="00E64046" w:rsidRPr="005E7AA7">
        <w:rPr>
          <w:rFonts w:ascii="Garamond" w:hAnsi="Garamond"/>
          <w:bCs/>
          <w:sz w:val="22"/>
          <w:szCs w:val="22"/>
          <w:lang w:val="en-US"/>
        </w:rPr>
        <w:t>additional</w:t>
      </w:r>
      <w:r w:rsidRPr="005E7AA7">
        <w:rPr>
          <w:rFonts w:ascii="Garamond" w:hAnsi="Garamond"/>
          <w:bCs/>
          <w:sz w:val="22"/>
          <w:szCs w:val="22"/>
          <w:lang w:val="en-US"/>
        </w:rPr>
        <w:t xml:space="preserve"> data from 58 Maya </w:t>
      </w:r>
      <w:r w:rsidR="004603A8" w:rsidRPr="005E7AA7">
        <w:rPr>
          <w:rFonts w:ascii="Garamond" w:hAnsi="Garamond"/>
          <w:bCs/>
          <w:sz w:val="22"/>
          <w:szCs w:val="22"/>
          <w:lang w:val="en-US"/>
        </w:rPr>
        <w:t xml:space="preserve">mother-child pairs </w:t>
      </w:r>
      <w:r w:rsidRPr="005E7AA7">
        <w:rPr>
          <w:rFonts w:ascii="Garamond" w:hAnsi="Garamond"/>
          <w:bCs/>
          <w:sz w:val="22"/>
          <w:szCs w:val="22"/>
          <w:lang w:val="en-US"/>
        </w:rPr>
        <w:t>in Merida.</w:t>
      </w:r>
      <w:r w:rsidR="004603A8" w:rsidRPr="005E7AA7">
        <w:rPr>
          <w:rFonts w:ascii="Garamond" w:hAnsi="Garamond"/>
          <w:bCs/>
          <w:sz w:val="22"/>
          <w:szCs w:val="22"/>
          <w:lang w:val="en-US"/>
        </w:rPr>
        <w:t xml:space="preserve"> The 31 boys and 27 girls were 6.8-9.9 years old. Based on references for he</w:t>
      </w:r>
      <w:r w:rsidR="00D230E4" w:rsidRPr="005E7AA7">
        <w:rPr>
          <w:rFonts w:ascii="Garamond" w:hAnsi="Garamond"/>
          <w:bCs/>
          <w:sz w:val="22"/>
          <w:szCs w:val="22"/>
          <w:lang w:val="en-US"/>
        </w:rPr>
        <w:t>ight and weight produced by the</w:t>
      </w:r>
      <w:r w:rsidR="004603A8" w:rsidRPr="005E7AA7">
        <w:rPr>
          <w:rFonts w:ascii="Garamond" w:hAnsi="Garamond"/>
          <w:bCs/>
          <w:sz w:val="22"/>
          <w:szCs w:val="22"/>
          <w:lang w:val="en-US"/>
        </w:rPr>
        <w:t xml:space="preserve"> </w:t>
      </w:r>
      <w:r w:rsidR="00324035" w:rsidRPr="005E7AA7">
        <w:rPr>
          <w:rFonts w:ascii="Garamond" w:hAnsi="Garamond"/>
          <w:bCs/>
          <w:sz w:val="22"/>
          <w:szCs w:val="22"/>
          <w:lang w:val="en-US"/>
        </w:rPr>
        <w:t xml:space="preserve">Centers </w:t>
      </w:r>
      <w:r w:rsidR="004603A8" w:rsidRPr="005E7AA7">
        <w:rPr>
          <w:rFonts w:ascii="Garamond" w:hAnsi="Garamond"/>
          <w:bCs/>
          <w:sz w:val="22"/>
          <w:szCs w:val="22"/>
          <w:lang w:val="en-US"/>
        </w:rPr>
        <w:t xml:space="preserve">for Disease Control, United States, </w:t>
      </w:r>
      <w:proofErr w:type="gramStart"/>
      <w:r w:rsidR="004603A8" w:rsidRPr="005E7AA7">
        <w:rPr>
          <w:rFonts w:ascii="Garamond" w:hAnsi="Garamond"/>
          <w:bCs/>
          <w:sz w:val="22"/>
          <w:szCs w:val="22"/>
          <w:lang w:val="en-US"/>
        </w:rPr>
        <w:t>31</w:t>
      </w:r>
      <w:proofErr w:type="gramEnd"/>
      <w:r w:rsidR="00324035" w:rsidRPr="005E7AA7">
        <w:rPr>
          <w:rFonts w:ascii="Garamond" w:hAnsi="Garamond"/>
          <w:bCs/>
          <w:sz w:val="22"/>
          <w:szCs w:val="22"/>
          <w:lang w:val="en-US"/>
        </w:rPr>
        <w:t>%</w:t>
      </w:r>
      <w:r w:rsidR="004603A8" w:rsidRPr="005E7AA7">
        <w:rPr>
          <w:rFonts w:ascii="Garamond" w:hAnsi="Garamond"/>
          <w:bCs/>
          <w:sz w:val="22"/>
          <w:szCs w:val="22"/>
          <w:lang w:val="en-US"/>
        </w:rPr>
        <w:t xml:space="preserve"> of the children were stunted, 12.1</w:t>
      </w:r>
      <w:r w:rsidR="00324035" w:rsidRPr="005E7AA7">
        <w:rPr>
          <w:rFonts w:ascii="Garamond" w:hAnsi="Garamond"/>
          <w:bCs/>
          <w:sz w:val="22"/>
          <w:szCs w:val="22"/>
          <w:lang w:val="en-US"/>
        </w:rPr>
        <w:t>%</w:t>
      </w:r>
      <w:r w:rsidR="004603A8" w:rsidRPr="005E7AA7">
        <w:rPr>
          <w:rFonts w:ascii="Garamond" w:hAnsi="Garamond"/>
          <w:bCs/>
          <w:sz w:val="22"/>
          <w:szCs w:val="22"/>
          <w:lang w:val="en-US"/>
        </w:rPr>
        <w:t xml:space="preserve"> were overweight, and 15</w:t>
      </w:r>
      <w:r w:rsidR="00324035" w:rsidRPr="005E7AA7">
        <w:rPr>
          <w:rFonts w:ascii="Garamond" w:hAnsi="Garamond"/>
          <w:bCs/>
          <w:sz w:val="22"/>
          <w:szCs w:val="22"/>
          <w:lang w:val="en-US"/>
        </w:rPr>
        <w:t>%</w:t>
      </w:r>
      <w:r w:rsidR="004603A8" w:rsidRPr="005E7AA7">
        <w:rPr>
          <w:rFonts w:ascii="Garamond" w:hAnsi="Garamond"/>
          <w:bCs/>
          <w:sz w:val="22"/>
          <w:szCs w:val="22"/>
          <w:lang w:val="en-US"/>
        </w:rPr>
        <w:t xml:space="preserve"> were obese. Using these same references, 81</w:t>
      </w:r>
      <w:r w:rsidR="00324035" w:rsidRPr="005E7AA7">
        <w:rPr>
          <w:rFonts w:ascii="Garamond" w:hAnsi="Garamond"/>
          <w:bCs/>
          <w:sz w:val="22"/>
          <w:szCs w:val="22"/>
          <w:lang w:val="en-US"/>
        </w:rPr>
        <w:t>%</w:t>
      </w:r>
      <w:r w:rsidR="004603A8" w:rsidRPr="005E7AA7">
        <w:rPr>
          <w:rFonts w:ascii="Garamond" w:hAnsi="Garamond"/>
          <w:bCs/>
          <w:sz w:val="22"/>
          <w:szCs w:val="22"/>
          <w:lang w:val="en-US"/>
        </w:rPr>
        <w:t xml:space="preserve"> of the mothers were stunted (height &lt;150 cm), 91.4</w:t>
      </w:r>
      <w:r w:rsidR="00324035" w:rsidRPr="005E7AA7">
        <w:rPr>
          <w:rFonts w:ascii="Garamond" w:hAnsi="Garamond"/>
          <w:bCs/>
          <w:sz w:val="22"/>
          <w:szCs w:val="22"/>
          <w:lang w:val="en-US"/>
        </w:rPr>
        <w:t>%</w:t>
      </w:r>
      <w:r w:rsidR="004603A8" w:rsidRPr="005E7AA7">
        <w:rPr>
          <w:rFonts w:ascii="Garamond" w:hAnsi="Garamond"/>
          <w:bCs/>
          <w:sz w:val="22"/>
          <w:szCs w:val="22"/>
          <w:lang w:val="en-US"/>
        </w:rPr>
        <w:t xml:space="preserve"> were overweight, with 39.7</w:t>
      </w:r>
      <w:r w:rsidR="00324035" w:rsidRPr="005E7AA7">
        <w:rPr>
          <w:rFonts w:ascii="Garamond" w:hAnsi="Garamond"/>
          <w:bCs/>
          <w:sz w:val="22"/>
          <w:szCs w:val="22"/>
          <w:lang w:val="en-US"/>
        </w:rPr>
        <w:t>%</w:t>
      </w:r>
      <w:r w:rsidR="00DF1F4A" w:rsidRPr="005E7AA7">
        <w:rPr>
          <w:rFonts w:ascii="Garamond" w:hAnsi="Garamond"/>
          <w:bCs/>
          <w:sz w:val="22"/>
          <w:szCs w:val="22"/>
          <w:lang w:val="en-US"/>
        </w:rPr>
        <w:t xml:space="preserve"> of the overweight women classified as obese</w:t>
      </w:r>
      <w:r w:rsidR="00EA04DB" w:rsidRPr="005E7AA7">
        <w:rPr>
          <w:rFonts w:ascii="Garamond" w:hAnsi="Garamond"/>
          <w:bCs/>
          <w:sz w:val="22"/>
          <w:szCs w:val="22"/>
          <w:lang w:val="en-US"/>
        </w:rPr>
        <w:t xml:space="preserve"> </w:t>
      </w:r>
      <w:r w:rsidR="00EA04DB"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"abstract" : "This paper focuses on the phenomenon of the nutritional dual-burden in the developing world. Nutritional dual-burden is defined as the coexistence of under-and-over nutrition in the same population/group, the same household/family, or the same person. In this paper we aim: a) to describe the different types of nutritional dual-burden, b) to identify the anthropometric indicators generally used to classify the nutritional dual-burden, c) to focus our attention on a dual-burden group (the Maya from Merida, Yucatan, Mexico), d) to illustrate problems in the categorization of the dual-burden, and e) to suggest possible health implications. Our results show that, for our sample, the prevalence of individual dual-burden among children is very low, but is very high among the mothers and for mother-child pairs (household dual-burden). Most importantly, the criteria used to assess the nutritional status of the individuals and of the families will play an important role in the estimated prevalence of nutritional dual-burden, and this will have practical impacts for health intervention programs.", "author" : [ { "dropping-particle" : "", "family" : "Varela-Silva", "given" : "Maria In\u00eas", "non-dropping-particle" : "", "parse-names" : false, "suffix" : "" }, { "dropping-particle" : "", "family" : "Dickinson", "given" : "Federico", "non-dropping-particle" : "", "parse-names" : false, "suffix" : "" }, { "dropping-particle" : "", "family" : "Wilson", "given" : "Hannah", "non-dropping-particle" : "", "parse-names" : false, "suffix" : "" }, { "dropping-particle" : "", "family" : "Azcorra", "given" : "Hugo", "non-dropping-particle" : "", "parse-names" : false, "suffix" : "" }, { "dropping-particle" : "", "family" : "Griffiths", "given" : "Paula Louise", "non-dropping-particle" : "", "parse-names" : false, "suffix" : "" }, { "dropping-particle" : "", "family" : "Bogin", "given" : "Barry", "non-dropping-particle" : "", "parse-names" : false, "suffix" : "" } ], "container-title" : "Collegium antropologicum", "id" : "ITEM-1", "issue" : "1", "issued" : { "date-parts" : [ [ "2012", "3" ] ] }, "page" : "39-45", "title" : "The nutritional dual-burden in developing countries--how is it assessed and what are the health implications?", "type" : "article-journal", "volume" : "36" }, "uris" : [ "http://www.mendeley.com/documents/?uuid=a1721e0b-e65d-4d3f-a7d9-a22122f365c6" ] } ], "mendeley" : { "previouslyFormattedCitation" : "(Varela-Silva et al., 2012)" }, "properties" : { "noteIndex" : 0 }, "schema" : "https://github.com/citation-style-language/schema/raw/master/csl-citation.json" }</w:instrText>
      </w:r>
      <w:r w:rsidR="00EA04DB" w:rsidRPr="005E7AA7">
        <w:rPr>
          <w:rFonts w:ascii="Garamond" w:hAnsi="Garamond"/>
          <w:bCs/>
          <w:sz w:val="22"/>
          <w:szCs w:val="22"/>
          <w:lang w:val="en-US"/>
        </w:rPr>
        <w:fldChar w:fldCharType="separate"/>
      </w:r>
      <w:r w:rsidR="00EA04DB" w:rsidRPr="005E7AA7">
        <w:rPr>
          <w:rFonts w:ascii="Garamond" w:hAnsi="Garamond"/>
          <w:bCs/>
          <w:noProof/>
          <w:sz w:val="22"/>
          <w:szCs w:val="22"/>
          <w:lang w:val="en-US"/>
        </w:rPr>
        <w:t>(Varela-Silva et al., 2012)</w:t>
      </w:r>
      <w:r w:rsidR="00EA04DB" w:rsidRPr="005E7AA7">
        <w:rPr>
          <w:rFonts w:ascii="Garamond" w:hAnsi="Garamond"/>
          <w:bCs/>
          <w:sz w:val="22"/>
          <w:szCs w:val="22"/>
          <w:lang w:val="en-US"/>
        </w:rPr>
        <w:fldChar w:fldCharType="end"/>
      </w:r>
      <w:r w:rsidR="00DF1F4A" w:rsidRPr="005E7AA7">
        <w:rPr>
          <w:rFonts w:ascii="Garamond" w:hAnsi="Garamond"/>
          <w:bCs/>
          <w:sz w:val="22"/>
          <w:szCs w:val="22"/>
          <w:lang w:val="en-US"/>
        </w:rPr>
        <w:t xml:space="preserve">. </w:t>
      </w:r>
    </w:p>
    <w:p w:rsidR="008E1D69" w:rsidRPr="005E7AA7" w:rsidRDefault="008E1D69" w:rsidP="005E7AA7">
      <w:pPr>
        <w:rPr>
          <w:rFonts w:ascii="Garamond" w:hAnsi="Garamond"/>
          <w:bCs/>
          <w:sz w:val="22"/>
          <w:szCs w:val="22"/>
          <w:lang w:val="en-US"/>
        </w:rPr>
      </w:pPr>
      <w:r w:rsidRPr="005E7AA7">
        <w:rPr>
          <w:rFonts w:ascii="Garamond" w:hAnsi="Garamond"/>
          <w:bCs/>
          <w:sz w:val="22"/>
          <w:szCs w:val="22"/>
          <w:lang w:val="en-US"/>
        </w:rPr>
        <w:t xml:space="preserve">In principle it should be virtually impossible for a 7-9 year </w:t>
      </w:r>
      <w:r w:rsidR="00D230E4" w:rsidRPr="005E7AA7">
        <w:rPr>
          <w:rFonts w:ascii="Garamond" w:hAnsi="Garamond"/>
          <w:bCs/>
          <w:sz w:val="22"/>
          <w:szCs w:val="22"/>
          <w:lang w:val="en-US"/>
        </w:rPr>
        <w:t>ol</w:t>
      </w:r>
      <w:r w:rsidRPr="005E7AA7">
        <w:rPr>
          <w:rFonts w:ascii="Garamond" w:hAnsi="Garamond"/>
          <w:bCs/>
          <w:sz w:val="22"/>
          <w:szCs w:val="22"/>
          <w:lang w:val="en-US"/>
        </w:rPr>
        <w:t xml:space="preserve">d </w:t>
      </w:r>
      <w:r w:rsidR="00D230E4" w:rsidRPr="005E7AA7">
        <w:rPr>
          <w:rFonts w:ascii="Garamond" w:hAnsi="Garamond"/>
          <w:bCs/>
          <w:sz w:val="22"/>
          <w:szCs w:val="22"/>
          <w:lang w:val="en-US"/>
        </w:rPr>
        <w:t xml:space="preserve">child </w:t>
      </w:r>
      <w:r w:rsidRPr="005E7AA7">
        <w:rPr>
          <w:rFonts w:ascii="Garamond" w:hAnsi="Garamond"/>
          <w:bCs/>
          <w:sz w:val="22"/>
          <w:szCs w:val="22"/>
          <w:lang w:val="en-US"/>
        </w:rPr>
        <w:t>to be simultaneously stunted and overweight.</w:t>
      </w:r>
      <w:r w:rsidR="00C97123" w:rsidRPr="005E7AA7">
        <w:rPr>
          <w:rFonts w:ascii="Garamond" w:hAnsi="Garamond"/>
          <w:bCs/>
          <w:sz w:val="22"/>
          <w:szCs w:val="22"/>
          <w:lang w:val="en-US"/>
        </w:rPr>
        <w:t xml:space="preserve"> </w:t>
      </w:r>
      <w:r w:rsidR="00D230E4" w:rsidRPr="005E7AA7">
        <w:rPr>
          <w:rFonts w:ascii="Garamond" w:hAnsi="Garamond"/>
          <w:bCs/>
          <w:sz w:val="22"/>
          <w:szCs w:val="22"/>
          <w:lang w:val="en-US"/>
        </w:rPr>
        <w:t xml:space="preserve">It should be highly unlikely to find so much stunting and obesity, even in different children, within the Maya of Merida. Our findings are not isolated, as </w:t>
      </w:r>
      <w:r w:rsidR="00D2161F" w:rsidRPr="005E7AA7">
        <w:rPr>
          <w:rFonts w:ascii="Garamond" w:hAnsi="Garamond"/>
          <w:bCs/>
          <w:sz w:val="22"/>
          <w:szCs w:val="22"/>
          <w:lang w:val="en-US"/>
        </w:rPr>
        <w:t xml:space="preserve">similar reports come from several other low socioeconomic </w:t>
      </w:r>
      <w:r w:rsidR="009C49C0" w:rsidRPr="005E7AA7">
        <w:rPr>
          <w:rFonts w:ascii="Garamond" w:hAnsi="Garamond"/>
          <w:bCs/>
          <w:sz w:val="22"/>
          <w:szCs w:val="22"/>
          <w:lang w:val="en-US"/>
        </w:rPr>
        <w:t>sta</w:t>
      </w:r>
      <w:r w:rsidR="00884422" w:rsidRPr="005E7AA7">
        <w:rPr>
          <w:rFonts w:ascii="Garamond" w:hAnsi="Garamond"/>
          <w:bCs/>
          <w:sz w:val="22"/>
          <w:szCs w:val="22"/>
          <w:lang w:val="en-US"/>
        </w:rPr>
        <w:t xml:space="preserve">tus </w:t>
      </w:r>
      <w:r w:rsidR="00D2161F" w:rsidRPr="005E7AA7">
        <w:rPr>
          <w:rFonts w:ascii="Garamond" w:hAnsi="Garamond"/>
          <w:bCs/>
          <w:sz w:val="22"/>
          <w:szCs w:val="22"/>
          <w:lang w:val="en-US"/>
        </w:rPr>
        <w:t xml:space="preserve">groups in </w:t>
      </w:r>
      <w:r w:rsidR="004C53C3" w:rsidRPr="005E7AA7">
        <w:rPr>
          <w:rFonts w:ascii="Garamond" w:hAnsi="Garamond"/>
          <w:bCs/>
          <w:sz w:val="22"/>
          <w:szCs w:val="22"/>
          <w:lang w:val="en-US"/>
        </w:rPr>
        <w:t xml:space="preserve">both </w:t>
      </w:r>
      <w:r w:rsidR="00D2161F" w:rsidRPr="005E7AA7">
        <w:rPr>
          <w:rFonts w:ascii="Garamond" w:hAnsi="Garamond"/>
          <w:bCs/>
          <w:sz w:val="22"/>
          <w:szCs w:val="22"/>
          <w:lang w:val="en-US"/>
        </w:rPr>
        <w:t xml:space="preserve">developing </w:t>
      </w:r>
      <w:r w:rsidR="004C53C3" w:rsidRPr="005E7AA7">
        <w:rPr>
          <w:rFonts w:ascii="Garamond" w:hAnsi="Garamond"/>
          <w:bCs/>
          <w:sz w:val="22"/>
          <w:szCs w:val="22"/>
          <w:lang w:val="en-US"/>
        </w:rPr>
        <w:t xml:space="preserve">and developed </w:t>
      </w:r>
      <w:r w:rsidR="00D2161F" w:rsidRPr="005E7AA7">
        <w:rPr>
          <w:rFonts w:ascii="Garamond" w:hAnsi="Garamond"/>
          <w:bCs/>
          <w:sz w:val="22"/>
          <w:szCs w:val="22"/>
          <w:lang w:val="en-US"/>
        </w:rPr>
        <w:t xml:space="preserve">nations </w:t>
      </w:r>
      <w:r w:rsidR="004C53C3"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"abstract" : "This paper focuses on the phenomenon of the nutritional dual-burden in the developing world. Nutritional dual-burden is defined as the coexistence of under-and-over nutrition in the same population/group, the same household/family, or the same person. In this paper we aim: a) to describe the different types of nutritional dual-burden, b) to identify the anthropometric indicators generally used to classify the nutritional dual-burden, c) to focus our attention on a dual-burden group (the Maya from Merida, Yucatan, Mexico), d) to illustrate problems in the categorization of the dual-burden, and e) to suggest possible health implications. Our results show that, for our sample, the prevalence of individual dual-burden among children is very low, but is very high among the mothers and for mother-child pairs (household dual-burden). Most importantly, the criteria used to assess the nutritional status of the individuals and of the families will play an important role in the estimated prevalence of nutritional dual-burden, and this will have practical impacts for health intervention programs.", "author" : [ { "dropping-particle" : "", "family" : "Varela-Silva", "given" : "Maria In\u00eas", "non-dropping-particle" : "", "parse-names" : false, "suffix" : "" }, { "dropping-particle" : "", "family" : "Dickinson", "given" : "Federico", "non-dropping-particle" : "", "parse-names" : false, "suffix" : "" }, { "dropping-particle" : "", "family" : "Wilson", "given" : "Hannah", "non-dropping-particle" : "", "parse-names" : false, "suffix" : "" }, { "dropping-particle" : "", "family" : "Azcorra", "given" : "Hugo", "non-dropping-particle" : "", "parse-names" : false, "suffix" : "" }, { "dropping-particle" : "", "family" : "Griffiths", "given" : "Paula Louise", "non-dropping-particle" : "", "parse-names" : false, "suffix" : "" }, { "dropping-particle" : "", "family" : "Bogin", "given" : "Barry", "non-dropping-particle" : "", "parse-names" : false, "suffix" : "" } ], "container-title" : "Collegium antropologicum", "id" : "ITEM-1", "issue" : "1", "issued" : { "date-parts" : [ [ "2012", "3" ] ] }, "page" : "39-45", "title" : "The nutritional dual-burden in developing countries--how is it assessed and what are the health implications?", "type" : "article-journal", "volume" : "36" }, "uris" : [ "http://www.mendeley.com/documents/?uuid=a1721e0b-e65d-4d3f-a7d9-a22122f365c6" ] } ], "mendeley" : { "previouslyFormattedCitation" : "(Varela-Silva et al., 2012)" }, "properties" : { "noteIndex" : 0 }, "schema" : "https://github.com/citation-style-language/schema/raw/master/csl-citation.json" }</w:instrText>
      </w:r>
      <w:r w:rsidR="004C53C3" w:rsidRPr="005E7AA7">
        <w:rPr>
          <w:rFonts w:ascii="Garamond" w:hAnsi="Garamond"/>
          <w:bCs/>
          <w:sz w:val="22"/>
          <w:szCs w:val="22"/>
          <w:lang w:val="en-US"/>
        </w:rPr>
        <w:fldChar w:fldCharType="separate"/>
      </w:r>
      <w:r w:rsidR="004C53C3" w:rsidRPr="005E7AA7">
        <w:rPr>
          <w:rFonts w:ascii="Garamond" w:hAnsi="Garamond"/>
          <w:bCs/>
          <w:noProof/>
          <w:sz w:val="22"/>
          <w:szCs w:val="22"/>
          <w:lang w:val="en-US"/>
        </w:rPr>
        <w:t>(Varela-Silva et al., 2012)</w:t>
      </w:r>
      <w:r w:rsidR="004C53C3" w:rsidRPr="005E7AA7">
        <w:rPr>
          <w:rFonts w:ascii="Garamond" w:hAnsi="Garamond"/>
          <w:bCs/>
          <w:sz w:val="22"/>
          <w:szCs w:val="22"/>
          <w:lang w:val="en-US"/>
        </w:rPr>
        <w:fldChar w:fldCharType="end"/>
      </w:r>
      <w:r w:rsidR="004C53C3" w:rsidRPr="005E7AA7">
        <w:rPr>
          <w:rFonts w:ascii="Garamond" w:hAnsi="Garamond"/>
          <w:bCs/>
          <w:sz w:val="22"/>
          <w:szCs w:val="22"/>
          <w:lang w:val="en-US"/>
        </w:rPr>
        <w:t>. Several hypotheses have been proposed to explain the nutritional dual-burden</w:t>
      </w:r>
      <w:r w:rsidR="00AD2863" w:rsidRPr="005E7AA7">
        <w:rPr>
          <w:rFonts w:ascii="Garamond" w:hAnsi="Garamond"/>
          <w:bCs/>
          <w:sz w:val="22"/>
          <w:szCs w:val="22"/>
          <w:lang w:val="en-US"/>
        </w:rPr>
        <w:t xml:space="preserve"> </w:t>
      </w:r>
      <w:r w:rsidR="00AD2863"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"DOI" : "10.1371/journal.pone.0039007", "ISSN" : "1932-6203", "PMID" : "22701741", "abstract" : "BACKGROUND: Recent studies suggest that early modifications in metabolic pathways and behaviour, leading to energy conservation and reduced linear growth, could represent adaptations to nutritional constraints during foetal life and infancy. Impaired fat oxidation, low resting energy expenditure and reduced physical activity, resulting from these adaptations, could facilitate fat storage and development of overweight in growth-retarded children that consume more energy-dense food. This study aims at assessing whether: (1) dual-burden preschool children (simultaneously stunted and overweight) of Yaounde (Cameroon) have low birth-weight (indicator of foetal undernutrition) and reductions in fat oxidation, resting energy expenditure (REE) and physical activity, (2) fat oxidation, REE and physical activity are associated with foetal growth.\n\nMETHODOLOGY/PRINCIPAL FINDINGS: 162 children (24-72 months) were considered: 22 stunted-overweight (SO), 40 stunted (S), 41 overweight (O), and 59 non stunted-non overweight (NSNO). Nutritional status and body composition were assessed using anthropometry and multifrequency bioimpedance analysis. Fasting respiratory quotient (RQ) and REE were measured by indirect calorimetry. Physical activity was determined using accelerometers, food questionnaires were used for diet assessment and birth-weight was noted. Mean RQs and REE (weight adjusted) did not differ between stunted children (SO and S) and non-stunted children (O and NSNO). SO and S children spent more time in sedentary activities than O children (p\u200a=\u200a0.01 and p\u200a=\u200a0.02, respectively) and less time in moderate-to-vigorous activities than NSNO children (p\u200a=\u200a0.05 and p\u200a=\u200a0.04, respectively). SO children's diet was less diverse (p\u200a=\u200a0.01) with less animal products (p\u200a=\u200a0.006). Multiple linear regressions model revealed that birth-weight is predictive of RQ (\u03b2\u200a=\u200a0.237, p&lt;0.01, R(2)\u200a=\u200a0.08).\n\nCONCLUSIONS/SIGNIFICANCE: This study showed that growth retardation in stunted-overweight children could be associated with postnatal nutritional deficiencies. Overweight in stunted children could be associated with reduced physical activity in the context of nutrition transition. High birth-weight was a predictor of reduced lipid oxidation, a risk factor of fat deposition.", "author" : [ { "dropping-particle" : "", "family" : "Said-Mohamed", "given" : "Rihlat", "non-dropping-particle" : "", "parse-names" : false, "suffix" : "" }, { "dropping-particle" : "", "family" : "Bernard", "given" : "Jonathan Y", "non-dropping-particle" : "", "parse-names" : false, "suffix" : "" }, { "dropping-particle" : "", "family" : "Ndzana", "given" : "Anne-Christine", "non-dropping-particle" : "", "parse-names" : false, "suffix" : "" }, { "dropping-particle" : "", "family" : "Pasquet", "given" : "Patrick", "non-dropping-particle" : "", "parse-names" : false, "suffix" : "" } ], "container-title" : "PloS one", "id" : "ITEM-1", "issue" : "6", "issued" : { "date-parts" : [ [ "2012", "1" ] ] }, "page" : "e39007", "title" : "Is overweight in stunted preschool children in Cameroon related to reductions in fat oxidation, resting energy expenditure and physical activity?", "type" : "article-journal", "volume" : "7" }, "uris" : [ "http://www.mendeley.com/documents/?uuid=e850d3d9-cae6-4a2a-af36-22e04c05a124" ] }, { "id" : "ITEM-2", "itemData" : { "DOI" : "10.1002/ajpa.22463", "ISSN" : "1096-8644", "PMID" : "24375238", "abstract" : "The co-existence of very short stature due to poor chronic environment in early life and obesity is becoming a public health concern in rapidly transitioning populations with high levels of poverty. Individuals who have very short stature seem to be at an increased risk of obesity in times of relative caloric abundance. Increasing evidence shows that an individual is influenced by exposures in previous generations. This study assesses whether maternal poor early life environment predicts her child's adiposity using cross sectional design on Maya schoolchildren aged 7-9 and their mothers (n = 57 pairs). We compared maternal chronic early life environment (stature) with her child's adiposity (body mass index [BMI] z-score, waist circumference z-score, and percentage body fat) using multiple linear regression, controlling for the child's own environmental exposures (household sanitation and maternal parity). The research was performed in the south of Merida, Yucatan, Mexico, a low socioeconomic urban area in an upper middle income country. The Maya mothers were very short, with a mean stature of 147 cm. The children had fairly high adiposity levels, with BMI and waist circumference z-scores above the reference median. Maternal stature did not significantly predict any child adiposity indicator. There does not appear to be an intergenerational component of maternal early life chronic under-nutrition on her child's obesity risk within this free living population living in poverty. These results suggest that the co-existence of very short stature and obesity appears to be primarily due to exposures and experiences within a generation rather than across generations. Am J Phys Anthropol, 2013. \u00a9 2013 Wiley Periodicals, Inc.", "author" : [ { "dropping-particle" : "", "family" : "Wilson", "given" : "Hannah J", "non-dropping-particle" : "", "parse-names" : false, "suffix" : "" }, { "dropping-particle" : "", "family" : "Dickinson", "given" : "Federico", "non-dropping-particle" : "", "parse-names" : false, "suffix" : "" }, { "dropping-particle" : "", "family" : "Griffiths", "given" : "Paula L", "non-dropping-particle" : "", "parse-names" : false, "suffix" : "" }, { "dropping-particle" : "", "family" : "Bogin", "given" : "Barry", "non-dropping-particle" : "", "parse-names" : false, "suffix" : "" }, { "dropping-particle" : "", "family" : "Hobbs", "given" : "Matthew", "non-dropping-particle" : "", "parse-names" : false, "suffix" : "" }, { "dropping-particle" : "", "family" : "Varela-Silva", "given" : "M In\u00eas", "non-dropping-particle" : "", "parse-names" : false, "suffix" : "" } ], "container-title" : "American journal of physical anthropology", "id" : "ITEM-2", "issue" : "October", "issued" : { "date-parts" : [ [ "2013", "12", "30" ] ] }, "title" : "Maternal short stature does not predict their children's fatness indicators in a nutritional dual-burden sample of urban Mexican Maya.", "type" : "article-journal", "volume" : "00" }, "uris" : [ "http://www.mendeley.com/documents/?uuid=44cc7f62-2ac7-4acf-a9b9-c9c405dac5e9" ] }, { "id" : "ITEM-3", "itemData" : { "ISSN" : "0350-6134", "abstract" : "Nutritional transition, urbanization, and physical inactivity are primary factors responsible for the worldwide epidemic of overweight/obesity (OW/OB). However, these factors fail to explain the epidemic of OW/OB in developing countries and in recent-migrants to developed countries. Among these, OW/OB is associated with short/stunted stature and coexists with undernutrition at much higher rates than is statistically expected. Changes in metabolic pathways toward reduced fat oxidation and increased metabolism of carbohydrate may explain, in part, this phenomenon. Also, intergenerational consequences of malnutrition and poor health of the mothers may lead to impaired phenotypes in their offspring. We propose a novel methodology to assess the history of early life malnutrition by assessing the sitting height ratio of the mothers. The degree of \"short leggedness\" reflects undernutrition when the mother was an infant/child. Collectively, behavioral, environmental, metabolic and intergenerational components of early life undernutrition may provide a more satisfactory explanation for later life obesity.", "author" : [ { "dropping-particle" : "", "family" : "Varela-Silva", "given" : "Maria In\u00eas", "non-dropping-particle" : "", "parse-names" : false, "suffix" : "" }, { "dropping-particle" : "", "family" : "Frisancho", "given" : "A Roberto", "non-dropping-particle" : "", "parse-names" : false, "suffix" : "" }, { "dropping-particle" : "", "family" : "Bogin", "given" : "Barry", "non-dropping-particle" : "", "parse-names" : false, "suffix" : "" }, { "dropping-particle" : "", "family" : "Chatkoff", "given" : "David", "non-dropping-particle" : "", "parse-names" : false, "suffix" : "" }, { "dropping-particle" : "", "family" : "Smith", "given" : "Patricia K", "non-dropping-particle" : "", "parse-names" : false, "suffix" : "" }, { "dropping-particle" : "", "family" : "Dickinson", "given" : "Federico", "non-dropping-particle" : "", "parse-names" : false, "suffix" : "" }, { "dropping-particle" : "", "family" : "Winham", "given" : "Donna", "non-dropping-particle" : "", "parse-names" : false, "suffix" : "" } ], "container-title" : "Collegium Antropologicum", "id" : "ITEM-3", "issue" : "1", "issued" : { "date-parts" : [ [ "2007", "3" ] ] }, "page" : "39-46", "title" : "Behavioral, environmental, metabolic and intergenerational components of early life undernutrition leading to later obesity in developing nations and in minority groups in the U.S.A.", "type" : "article-journal", "volume" : "31" }, "uris" : [ "http://www.mendeley.com/documents/?uuid=4e55306c-d105-4645-adf9-286571cfd6ea" ] }, { "id" : "ITEM-4", "itemData" : { "DOI" : "10.1002/ajhb.10191", "ISSN" : "1042-0533", "PMID" : "12820194", "abstract" : "The purpose of this article is to document the metabolic and environmental factors associated with the increased frequency of obesity in the developing nations. While the prevalence of obesity in the developed countries is caused by the increased consumption of calorie-dense foods, in the developing nations, because obesity coexists with undernutrition, additional factors are necessary to account for it. The evidence suggests that an important contributing factor for obesity in the developing nations is a reduced fat oxidation and increased metabolism of carbohydrate that has been brought about by the chronic undernutrition experienced during prenatal and postnatal growth. This shift toward a preferential metabolic use of carbohydrate rather than of fat results in an increased deposition of body fat. This tendency, along with the general decrease of energy expenditure in physical activity associated with urbanization, and the culturally mediated acceptance of fatness leads to obesity among populations from the developing nations. A joint effect of these factors is that in the developing nations obesity is associated with short stature resulting from developmental undernutrition, while in the developed countries obesity is associated with tall stature. It is hoped that future research will address the mechanisms whereby undernutrition increases the tendency toward obesity. Understanding how to modify fat oxidation could affect our ability to prevent weight gain among undernourished populations of the developing nations. Therefore, future research on the interaction of undernutrition and the development of obesity is of prime importance for anthropology concerned with the origins of human variability.", "author" : [ { "dropping-particle" : "", "family" : "Frisancho", "given" : "A Roberto", "non-dropping-particle" : "", "parse-names" : false, "suffix" : "" } ], "container-title" : "American Journal of Human Biology", "id" : "ITEM-4", "issue" : "4", "issued" : { "date-parts" : [ [ "2003" ] ] }, "page" : "522-32", "title" : "Reduced rate of fat oxidation: a metabolic pathway to obesity in the developing nations.", "type" : "article-journal", "volume" : "15" }, "uris" : [ "http://www.mendeley.com/documents/?uuid=33aa32e2-48f2-4e82-96d3-f71325fa6b4e", "http://www.mendeley.com/documents/?uuid=7c1aafdf-9965-4039-bd61-0744527b5010" ] } ], "mendeley" : { "previouslyFormattedCitation" : "(Frisancho, 2003; Varela-Silva et al., 2007; Said-Mohamed et al., 2012; Wilson et al., 2013)" }, "properties" : { "noteIndex" : 0 }, "schema" : "https://github.com/citation-style-language/schema/raw/master/csl-citation.json" }</w:instrText>
      </w:r>
      <w:r w:rsidR="00AD2863" w:rsidRPr="005E7AA7">
        <w:rPr>
          <w:rFonts w:ascii="Garamond" w:hAnsi="Garamond"/>
          <w:bCs/>
          <w:sz w:val="22"/>
          <w:szCs w:val="22"/>
          <w:lang w:val="en-US"/>
        </w:rPr>
        <w:fldChar w:fldCharType="separate"/>
      </w:r>
      <w:r w:rsidR="00FB3B38" w:rsidRPr="005E7AA7">
        <w:rPr>
          <w:rFonts w:ascii="Garamond" w:hAnsi="Garamond"/>
          <w:bCs/>
          <w:noProof/>
          <w:sz w:val="22"/>
          <w:szCs w:val="22"/>
          <w:lang w:val="en-US"/>
        </w:rPr>
        <w:t>(Frisancho, 2003; Varela-Silva et al., 2007; Said-Mohamed et al., 2012; Wilson et al., 2013)</w:t>
      </w:r>
      <w:r w:rsidR="00AD2863" w:rsidRPr="005E7AA7">
        <w:rPr>
          <w:rFonts w:ascii="Garamond" w:hAnsi="Garamond"/>
          <w:bCs/>
          <w:sz w:val="22"/>
          <w:szCs w:val="22"/>
          <w:lang w:val="en-US"/>
        </w:rPr>
        <w:fldChar w:fldCharType="end"/>
      </w:r>
      <w:r w:rsidR="004C53C3" w:rsidRPr="005E7AA7">
        <w:rPr>
          <w:rFonts w:ascii="Garamond" w:hAnsi="Garamond"/>
          <w:bCs/>
          <w:sz w:val="22"/>
          <w:szCs w:val="22"/>
          <w:lang w:val="en-US"/>
        </w:rPr>
        <w:t>. In the following analysis we examine the most basic of these hypotheses – that the diet of the Maya mothers and children participating in our studies is deficient in one or more nutrients essential for skeletal growth, but excessive in total energy.</w:t>
      </w:r>
    </w:p>
    <w:p w:rsidR="00F72489" w:rsidRPr="005E7AA7" w:rsidRDefault="0085288C" w:rsidP="005E7AA7">
      <w:pPr>
        <w:rPr>
          <w:rFonts w:ascii="Garamond" w:hAnsi="Garamond"/>
          <w:sz w:val="22"/>
          <w:szCs w:val="22"/>
          <w:lang w:val="en-US"/>
        </w:rPr>
      </w:pPr>
      <w:r w:rsidRPr="005E7AA7">
        <w:rPr>
          <w:rFonts w:ascii="Garamond" w:hAnsi="Garamond"/>
          <w:sz w:val="22"/>
          <w:szCs w:val="22"/>
          <w:lang w:val="en-US"/>
        </w:rPr>
        <w:t>We employed a</w:t>
      </w:r>
      <w:r w:rsidR="003D655C" w:rsidRPr="005E7AA7">
        <w:rPr>
          <w:rFonts w:ascii="Garamond" w:hAnsi="Garamond"/>
          <w:sz w:val="22"/>
          <w:szCs w:val="22"/>
          <w:lang w:val="en-US"/>
        </w:rPr>
        <w:t xml:space="preserve"> food frequency questionnaire (FFQ) to collect </w:t>
      </w:r>
      <w:r w:rsidR="00F72489" w:rsidRPr="005E7AA7">
        <w:rPr>
          <w:rFonts w:ascii="Garamond" w:hAnsi="Garamond"/>
          <w:sz w:val="22"/>
          <w:szCs w:val="22"/>
          <w:lang w:val="en-US"/>
        </w:rPr>
        <w:t>data</w:t>
      </w:r>
      <w:r w:rsidRPr="005E7AA7">
        <w:rPr>
          <w:rFonts w:ascii="Garamond" w:hAnsi="Garamond"/>
          <w:sz w:val="22"/>
          <w:szCs w:val="22"/>
          <w:lang w:val="en-US"/>
        </w:rPr>
        <w:t xml:space="preserve"> about the diet of </w:t>
      </w:r>
      <w:r w:rsidR="00F72489" w:rsidRPr="005E7AA7">
        <w:rPr>
          <w:rFonts w:ascii="Garamond" w:hAnsi="Garamond"/>
          <w:sz w:val="22"/>
          <w:szCs w:val="22"/>
          <w:lang w:val="en-US"/>
        </w:rPr>
        <w:t xml:space="preserve">a sample of 58 mother-child dyads. The age of studied women was between 22 and 49 years </w:t>
      </w:r>
      <w:r w:rsidR="003D655C" w:rsidRPr="005E7AA7">
        <w:rPr>
          <w:rFonts w:ascii="Garamond" w:hAnsi="Garamond"/>
          <w:sz w:val="22"/>
          <w:szCs w:val="22"/>
          <w:lang w:val="en-US"/>
        </w:rPr>
        <w:t xml:space="preserve">(mean = </w:t>
      </w:r>
      <w:r w:rsidR="00F72489" w:rsidRPr="005E7AA7">
        <w:rPr>
          <w:rFonts w:ascii="Garamond" w:hAnsi="Garamond"/>
          <w:sz w:val="22"/>
          <w:szCs w:val="22"/>
          <w:lang w:val="en-US"/>
        </w:rPr>
        <w:t>34.30 ±6.28</w:t>
      </w:r>
      <w:r w:rsidR="003D655C" w:rsidRPr="005E7AA7">
        <w:rPr>
          <w:rFonts w:ascii="Garamond" w:hAnsi="Garamond"/>
          <w:sz w:val="22"/>
          <w:szCs w:val="22"/>
          <w:lang w:val="en-US"/>
        </w:rPr>
        <w:t xml:space="preserve"> years.</w:t>
      </w:r>
      <w:r w:rsidR="00F72489" w:rsidRPr="005E7AA7">
        <w:rPr>
          <w:rFonts w:ascii="Garamond" w:hAnsi="Garamond"/>
          <w:sz w:val="22"/>
          <w:szCs w:val="22"/>
          <w:lang w:val="en-US"/>
        </w:rPr>
        <w:t xml:space="preserve"> The 58 children (boys = 31) were between </w:t>
      </w:r>
      <w:r w:rsidR="00884422" w:rsidRPr="005E7AA7">
        <w:rPr>
          <w:rFonts w:ascii="Garamond" w:hAnsi="Garamond"/>
          <w:sz w:val="22"/>
          <w:szCs w:val="22"/>
          <w:lang w:val="en-US"/>
        </w:rPr>
        <w:t>6.8</w:t>
      </w:r>
      <w:r w:rsidR="00F72489" w:rsidRPr="005E7AA7">
        <w:rPr>
          <w:rFonts w:ascii="Garamond" w:hAnsi="Garamond"/>
          <w:sz w:val="22"/>
          <w:szCs w:val="22"/>
          <w:lang w:val="en-US"/>
        </w:rPr>
        <w:t xml:space="preserve"> and 9</w:t>
      </w:r>
      <w:r w:rsidR="00884422" w:rsidRPr="005E7AA7">
        <w:rPr>
          <w:rFonts w:ascii="Garamond" w:hAnsi="Garamond"/>
          <w:sz w:val="22"/>
          <w:szCs w:val="22"/>
          <w:lang w:val="en-US"/>
        </w:rPr>
        <w:t>.9</w:t>
      </w:r>
      <w:r w:rsidR="00F72489" w:rsidRPr="005E7AA7">
        <w:rPr>
          <w:rFonts w:ascii="Garamond" w:hAnsi="Garamond"/>
          <w:sz w:val="22"/>
          <w:szCs w:val="22"/>
          <w:lang w:val="en-US"/>
        </w:rPr>
        <w:t xml:space="preserve"> years old (mean = 8.42, ±0.79).     </w:t>
      </w:r>
    </w:p>
    <w:p w:rsidR="0085288C" w:rsidRPr="005E7AA7" w:rsidRDefault="00F72489" w:rsidP="005E7AA7">
      <w:pPr>
        <w:rPr>
          <w:rFonts w:ascii="Garamond" w:hAnsi="Garamond"/>
          <w:sz w:val="22"/>
          <w:szCs w:val="22"/>
          <w:lang w:val="en-US"/>
        </w:rPr>
      </w:pPr>
      <w:r w:rsidRPr="005E7AA7">
        <w:rPr>
          <w:rFonts w:ascii="Garamond" w:hAnsi="Garamond"/>
          <w:sz w:val="22"/>
          <w:szCs w:val="22"/>
          <w:lang w:val="en-US"/>
        </w:rPr>
        <w:t>FFQ</w:t>
      </w:r>
      <w:r w:rsidR="003D655C" w:rsidRPr="005E7AA7">
        <w:rPr>
          <w:rFonts w:ascii="Garamond" w:hAnsi="Garamond"/>
          <w:sz w:val="22"/>
          <w:szCs w:val="22"/>
          <w:lang w:val="en-US"/>
        </w:rPr>
        <w:t>s</w:t>
      </w:r>
      <w:r w:rsidRPr="005E7AA7">
        <w:rPr>
          <w:rFonts w:ascii="Garamond" w:hAnsi="Garamond"/>
          <w:sz w:val="22"/>
          <w:szCs w:val="22"/>
          <w:lang w:val="en-US"/>
        </w:rPr>
        <w:t xml:space="preserve"> </w:t>
      </w:r>
      <w:r w:rsidR="003D655C" w:rsidRPr="005E7AA7">
        <w:rPr>
          <w:rFonts w:ascii="Garamond" w:hAnsi="Garamond"/>
          <w:sz w:val="22"/>
          <w:szCs w:val="22"/>
          <w:lang w:val="en-US"/>
        </w:rPr>
        <w:t>may be</w:t>
      </w:r>
      <w:r w:rsidRPr="005E7AA7">
        <w:rPr>
          <w:rFonts w:ascii="Garamond" w:hAnsi="Garamond"/>
          <w:sz w:val="22"/>
          <w:szCs w:val="22"/>
          <w:lang w:val="en-US"/>
        </w:rPr>
        <w:t xml:space="preserve"> </w:t>
      </w:r>
      <w:r w:rsidR="00EC7F3F" w:rsidRPr="005E7AA7">
        <w:rPr>
          <w:rFonts w:ascii="Garamond" w:hAnsi="Garamond"/>
          <w:sz w:val="22"/>
          <w:szCs w:val="22"/>
          <w:lang w:val="en-US"/>
        </w:rPr>
        <w:t xml:space="preserve">used </w:t>
      </w:r>
      <w:r w:rsidRPr="005E7AA7">
        <w:rPr>
          <w:rFonts w:ascii="Garamond" w:hAnsi="Garamond"/>
          <w:sz w:val="22"/>
          <w:szCs w:val="22"/>
          <w:lang w:val="en-US"/>
        </w:rPr>
        <w:t xml:space="preserve">to identify patterns of consumption of specific foods at </w:t>
      </w:r>
      <w:r w:rsidR="003D655C" w:rsidRPr="005E7AA7">
        <w:rPr>
          <w:rFonts w:ascii="Garamond" w:hAnsi="Garamond"/>
          <w:sz w:val="22"/>
          <w:szCs w:val="22"/>
          <w:lang w:val="en-US"/>
        </w:rPr>
        <w:t xml:space="preserve">the </w:t>
      </w:r>
      <w:r w:rsidRPr="005E7AA7">
        <w:rPr>
          <w:rFonts w:ascii="Garamond" w:hAnsi="Garamond"/>
          <w:sz w:val="22"/>
          <w:szCs w:val="22"/>
          <w:lang w:val="en-US"/>
        </w:rPr>
        <w:t xml:space="preserve">individual and community level. </w:t>
      </w:r>
      <w:r w:rsidR="00EC7F3F" w:rsidRPr="005E7AA7">
        <w:rPr>
          <w:rFonts w:ascii="Garamond" w:hAnsi="Garamond"/>
          <w:sz w:val="22"/>
          <w:szCs w:val="22"/>
          <w:lang w:val="en-US"/>
        </w:rPr>
        <w:t xml:space="preserve">The FFQ methodology may be less accurate than other methods, such as diet diaries, 24-hour recall, and weighed food intakes, especially for determining individual diets. In terms of costs and benefits, FFQs are useful to identify the main food components of the diet of groups of people, and when applied </w:t>
      </w:r>
      <w:r w:rsidR="00EC7F3F" w:rsidRPr="005E7AA7">
        <w:rPr>
          <w:rFonts w:ascii="Garamond" w:hAnsi="Garamond"/>
          <w:sz w:val="22"/>
          <w:szCs w:val="22"/>
          <w:lang w:val="en-US"/>
        </w:rPr>
        <w:lastRenderedPageBreak/>
        <w:t xml:space="preserve">to representative samples an FFQ may provide a general idea about the dietary characteristics of the population </w:t>
      </w:r>
      <w:r w:rsidR="00DB7EAB" w:rsidRPr="005E7AA7">
        <w:rPr>
          <w:rFonts w:ascii="Garamond" w:hAnsi="Garamond"/>
          <w:sz w:val="22"/>
          <w:szCs w:val="22"/>
          <w:lang w:val="en-US"/>
        </w:rPr>
        <w:fldChar w:fldCharType="begin" w:fldLock="1"/>
      </w:r>
      <w:r w:rsidR="00033477" w:rsidRPr="005E7AA7">
        <w:rPr>
          <w:rFonts w:ascii="Garamond" w:hAnsi="Garamond"/>
          <w:sz w:val="22"/>
          <w:szCs w:val="22"/>
          <w:lang w:val="en-US"/>
        </w:rPr>
        <w:instrText>ADDIN CSL_CITATION { "citationItems" : [ { "id" : "ITEM-1", "itemData" : { "ISSN" : "0379-5721", "PMID" : "23193764", "abstract" : "BACKGROUND: Information on dietary intake is essential for the assessment, planning, monitoring, and evaluation of nutritional interventions. A number of methods are available, each with unique strengths and weaknesses. Dietary intake records, 24-hour recalls, and Food Frequency Questionnaires (FFQs) determine food consumption and nutrient intakes of populations based on individual assessment; few countries have such data at national or regional levels. Food and Agriculture Organization (FAO) Food Balance Sheets (FBS) and food industry data, available in most countries, permit calculations of per capita food consumption but do not provide data on individual consumption. Household Consumption and Expenditures Surveys (HCES) are available for most countries and provide data that can be used to calculate consumption of fortification vehicles and to estimate additional intakes of micronutrients delivered through them to specific population groups.\n\nOBJECTIVE: To introduce the reader to the set of papers included in this Supplement reviewing methods and experience with HCES to inform nutrition, and specifically food fortification programs.\n\nMETHODS: The Monitoring, Assessment, and Data (MAD) working group and colleagues critically reviewed experiences in estimating dietary intakes,focusing on the use of secondary analysis of HCES.\n\nRESULTS: HCES predict coverage of the population that consumes a fortification vehicle and consumed amounts of fortification vehicles. HCES allow comparisons of different population strata and may also approximate micronutrient adequacy, based on nutrient density, at the household level.\n\nCONCLUSIONS: HCES are useful to inform food fortification and other nutrition programs for planning interventions, but further work is necessary. Currently, combined use of traditional dietary surveys is needed for assessment and for program monitoring and evaluation.", "author" : [ { "dropping-particle" : "", "family" : "Dary", "given" : "Omar", "non-dropping-particle" : "", "parse-names" : false, "suffix" : "" }, { "dropping-particle" : "", "family" : "Imhoff-Kunsch", "given" : "Beth", "non-dropping-particle" : "", "parse-names" : false, "suffix" : "" } ], "container-title" : "Food and nutrition bulletin", "id" : "ITEM-1", "issue" : "3 Suppl", "issued" : { "date-parts" : [ [ "2012", "9" ] ] }, "page" : "S141-5", "title" : "Measurement of food consumption to inform food fortification and other nutrition programs: an introduction to methods and their application.", "type" : "article-journal", "volume" : "33" }, "uris" : [ "http://www.mendeley.com/documents/?uuid=a4b44ec2-f72f-4032-9cd9-bb30107b3895" ] } ], "mendeley" : { "previouslyFormattedCitation" : "(Dary and Imhoff-Kunsch, 2012)" }, "properties" : { "noteIndex" : 0 }, "schema" : "https://github.com/citation-style-language/schema/raw/master/csl-citation.json" }</w:instrText>
      </w:r>
      <w:r w:rsidR="00DB7EAB" w:rsidRPr="005E7AA7">
        <w:rPr>
          <w:rFonts w:ascii="Garamond" w:hAnsi="Garamond"/>
          <w:sz w:val="22"/>
          <w:szCs w:val="22"/>
          <w:lang w:val="en-US"/>
        </w:rPr>
        <w:fldChar w:fldCharType="separate"/>
      </w:r>
      <w:r w:rsidR="00DB7EAB" w:rsidRPr="005E7AA7">
        <w:rPr>
          <w:rFonts w:ascii="Garamond" w:hAnsi="Garamond"/>
          <w:noProof/>
          <w:sz w:val="22"/>
          <w:szCs w:val="22"/>
          <w:lang w:val="en-US"/>
        </w:rPr>
        <w:t>(Dary and Imhoff-Kunsch, 2012)</w:t>
      </w:r>
      <w:r w:rsidR="00DB7EAB" w:rsidRPr="005E7AA7">
        <w:rPr>
          <w:rFonts w:ascii="Garamond" w:hAnsi="Garamond"/>
          <w:sz w:val="22"/>
          <w:szCs w:val="22"/>
          <w:lang w:val="en-US"/>
        </w:rPr>
        <w:fldChar w:fldCharType="end"/>
      </w:r>
      <w:r w:rsidR="00EC7F3F" w:rsidRPr="005E7AA7">
        <w:rPr>
          <w:rFonts w:ascii="Garamond" w:hAnsi="Garamond"/>
          <w:sz w:val="22"/>
          <w:szCs w:val="22"/>
          <w:lang w:val="en-US"/>
        </w:rPr>
        <w:t xml:space="preserve">. </w:t>
      </w:r>
      <w:r w:rsidRPr="005E7AA7">
        <w:rPr>
          <w:rFonts w:ascii="Garamond" w:hAnsi="Garamond"/>
          <w:sz w:val="22"/>
          <w:szCs w:val="22"/>
          <w:lang w:val="en-US"/>
        </w:rPr>
        <w:t xml:space="preserve">The kind and number of foods or products included in the questionnaire depend on the purpose of the study. </w:t>
      </w:r>
    </w:p>
    <w:p w:rsidR="00F43626" w:rsidRPr="005E7AA7" w:rsidRDefault="00F72489" w:rsidP="005E7AA7">
      <w:pPr>
        <w:rPr>
          <w:rFonts w:ascii="Garamond" w:hAnsi="Garamond"/>
          <w:sz w:val="22"/>
          <w:szCs w:val="22"/>
          <w:lang w:val="en-US"/>
        </w:rPr>
      </w:pPr>
      <w:r w:rsidRPr="005E7AA7">
        <w:rPr>
          <w:rFonts w:ascii="Garamond" w:hAnsi="Garamond"/>
          <w:sz w:val="22"/>
          <w:szCs w:val="22"/>
          <w:lang w:val="en-US"/>
        </w:rPr>
        <w:t xml:space="preserve">Our FFQ included 78 foods, grouped in </w:t>
      </w:r>
      <w:r w:rsidR="00140E46" w:rsidRPr="005E7AA7">
        <w:rPr>
          <w:rFonts w:ascii="Garamond" w:hAnsi="Garamond"/>
          <w:sz w:val="22"/>
          <w:szCs w:val="22"/>
          <w:lang w:val="en-US"/>
        </w:rPr>
        <w:t>7</w:t>
      </w:r>
      <w:r w:rsidRPr="005E7AA7">
        <w:rPr>
          <w:rFonts w:ascii="Garamond" w:hAnsi="Garamond"/>
          <w:sz w:val="22"/>
          <w:szCs w:val="22"/>
          <w:lang w:val="en-US"/>
        </w:rPr>
        <w:t xml:space="preserve"> categories: </w:t>
      </w:r>
      <w:r w:rsidR="00140E46" w:rsidRPr="005E7AA7">
        <w:rPr>
          <w:rFonts w:ascii="Garamond" w:hAnsi="Garamond"/>
          <w:sz w:val="22"/>
          <w:szCs w:val="22"/>
          <w:lang w:val="en-US"/>
        </w:rPr>
        <w:t xml:space="preserve">1) </w:t>
      </w:r>
      <w:r w:rsidRPr="005E7AA7">
        <w:rPr>
          <w:rFonts w:ascii="Garamond" w:hAnsi="Garamond"/>
          <w:sz w:val="22"/>
          <w:szCs w:val="22"/>
          <w:lang w:val="en-US"/>
        </w:rPr>
        <w:t>cereals</w:t>
      </w:r>
      <w:r w:rsidR="00140E46" w:rsidRPr="005E7AA7">
        <w:rPr>
          <w:rFonts w:ascii="Garamond" w:hAnsi="Garamond"/>
          <w:sz w:val="22"/>
          <w:szCs w:val="22"/>
          <w:lang w:val="en-US"/>
        </w:rPr>
        <w:t>, breads, and rice;</w:t>
      </w:r>
      <w:r w:rsidRPr="005E7AA7">
        <w:rPr>
          <w:rFonts w:ascii="Garamond" w:hAnsi="Garamond"/>
          <w:sz w:val="22"/>
          <w:szCs w:val="22"/>
          <w:lang w:val="en-US"/>
        </w:rPr>
        <w:t xml:space="preserve"> </w:t>
      </w:r>
      <w:r w:rsidR="00140E46" w:rsidRPr="005E7AA7">
        <w:rPr>
          <w:rFonts w:ascii="Garamond" w:hAnsi="Garamond"/>
          <w:sz w:val="22"/>
          <w:szCs w:val="22"/>
          <w:lang w:val="en-US"/>
        </w:rPr>
        <w:t xml:space="preserve">2) </w:t>
      </w:r>
      <w:r w:rsidR="00FF6153" w:rsidRPr="005E7AA7">
        <w:rPr>
          <w:rFonts w:ascii="Garamond" w:hAnsi="Garamond"/>
          <w:sz w:val="22"/>
          <w:szCs w:val="22"/>
          <w:lang w:val="en-US"/>
        </w:rPr>
        <w:t xml:space="preserve">beans, </w:t>
      </w:r>
      <w:r w:rsidR="00140E46" w:rsidRPr="005E7AA7">
        <w:rPr>
          <w:rFonts w:ascii="Garamond" w:hAnsi="Garamond"/>
          <w:sz w:val="22"/>
          <w:szCs w:val="22"/>
          <w:lang w:val="en-US"/>
        </w:rPr>
        <w:t>meats and fish;</w:t>
      </w:r>
      <w:r w:rsidRPr="005E7AA7">
        <w:rPr>
          <w:rFonts w:ascii="Garamond" w:hAnsi="Garamond"/>
          <w:sz w:val="22"/>
          <w:szCs w:val="22"/>
          <w:lang w:val="en-US"/>
        </w:rPr>
        <w:t xml:space="preserve"> </w:t>
      </w:r>
      <w:r w:rsidR="00140E46" w:rsidRPr="005E7AA7">
        <w:rPr>
          <w:rFonts w:ascii="Garamond" w:hAnsi="Garamond"/>
          <w:sz w:val="22"/>
          <w:szCs w:val="22"/>
          <w:lang w:val="en-US"/>
        </w:rPr>
        <w:t xml:space="preserve">3) </w:t>
      </w:r>
      <w:r w:rsidR="00CB7587" w:rsidRPr="005E7AA7">
        <w:rPr>
          <w:rFonts w:ascii="Garamond" w:hAnsi="Garamond"/>
          <w:sz w:val="22"/>
          <w:szCs w:val="22"/>
          <w:lang w:val="en-US"/>
        </w:rPr>
        <w:t>m</w:t>
      </w:r>
      <w:r w:rsidR="008D02BD" w:rsidRPr="005E7AA7">
        <w:rPr>
          <w:rFonts w:ascii="Garamond" w:hAnsi="Garamond"/>
          <w:sz w:val="22"/>
          <w:szCs w:val="22"/>
          <w:lang w:val="en-US"/>
        </w:rPr>
        <w:t xml:space="preserve">ilk and eggs; 4) </w:t>
      </w:r>
      <w:r w:rsidR="00140E46" w:rsidRPr="005E7AA7">
        <w:rPr>
          <w:rFonts w:ascii="Garamond" w:hAnsi="Garamond"/>
          <w:sz w:val="22"/>
          <w:szCs w:val="22"/>
          <w:lang w:val="en-US"/>
        </w:rPr>
        <w:t xml:space="preserve">animal and plant fats (e.g., cooking oil and lard); </w:t>
      </w:r>
      <w:r w:rsidR="00BD7D1E" w:rsidRPr="005E7AA7">
        <w:rPr>
          <w:rFonts w:ascii="Garamond" w:hAnsi="Garamond"/>
          <w:sz w:val="22"/>
          <w:szCs w:val="22"/>
          <w:lang w:val="en-US"/>
        </w:rPr>
        <w:t xml:space="preserve">5) </w:t>
      </w:r>
      <w:r w:rsidR="00140E46" w:rsidRPr="005E7AA7">
        <w:rPr>
          <w:rFonts w:ascii="Garamond" w:hAnsi="Garamond"/>
          <w:sz w:val="22"/>
          <w:szCs w:val="22"/>
          <w:lang w:val="en-US"/>
        </w:rPr>
        <w:t xml:space="preserve">sugar, honey, and sugar-sweetened soft drinks; </w:t>
      </w:r>
      <w:r w:rsidR="0020678E" w:rsidRPr="005E7AA7">
        <w:rPr>
          <w:rFonts w:ascii="Garamond" w:hAnsi="Garamond"/>
          <w:sz w:val="22"/>
          <w:szCs w:val="22"/>
          <w:lang w:val="en-US"/>
        </w:rPr>
        <w:t>6) local and non-local fruits; and 7) vegetables</w:t>
      </w:r>
      <w:r w:rsidRPr="005E7AA7">
        <w:rPr>
          <w:rFonts w:ascii="Garamond" w:hAnsi="Garamond"/>
          <w:sz w:val="22"/>
          <w:szCs w:val="22"/>
          <w:lang w:val="en-US"/>
        </w:rPr>
        <w:t xml:space="preserve">. </w:t>
      </w:r>
      <w:r w:rsidR="00F43626" w:rsidRPr="005E7AA7">
        <w:rPr>
          <w:rFonts w:ascii="Garamond" w:hAnsi="Garamond"/>
          <w:sz w:val="22"/>
          <w:szCs w:val="22"/>
          <w:lang w:val="en-US"/>
        </w:rPr>
        <w:t xml:space="preserve">We also determined if the food eaten was prepared at home or was commercially processed and packaged. </w:t>
      </w:r>
    </w:p>
    <w:p w:rsidR="00FD5FC1" w:rsidRPr="005E7AA7" w:rsidRDefault="00F72489" w:rsidP="005E7AA7">
      <w:pPr>
        <w:rPr>
          <w:rFonts w:ascii="Garamond" w:hAnsi="Garamond"/>
          <w:sz w:val="22"/>
          <w:szCs w:val="22"/>
          <w:lang w:val="en-US"/>
        </w:rPr>
      </w:pPr>
      <w:r w:rsidRPr="005E7AA7">
        <w:rPr>
          <w:rFonts w:ascii="Garamond" w:hAnsi="Garamond"/>
          <w:sz w:val="22"/>
          <w:szCs w:val="22"/>
          <w:lang w:val="en-US"/>
        </w:rPr>
        <w:t xml:space="preserve">We visited the families at their homes and applied the FFQ to the mothers </w:t>
      </w:r>
      <w:r w:rsidR="002A566B" w:rsidRPr="005E7AA7">
        <w:rPr>
          <w:rFonts w:ascii="Garamond" w:hAnsi="Garamond"/>
          <w:sz w:val="22"/>
          <w:szCs w:val="22"/>
          <w:lang w:val="en-US"/>
        </w:rPr>
        <w:t>to obtain</w:t>
      </w:r>
      <w:r w:rsidRPr="005E7AA7">
        <w:rPr>
          <w:rFonts w:ascii="Garamond" w:hAnsi="Garamond"/>
          <w:sz w:val="22"/>
          <w:szCs w:val="22"/>
          <w:lang w:val="en-US"/>
        </w:rPr>
        <w:t xml:space="preserve"> information about their own food consumption during the previous week and that of their son/daughter who participated in the study. We followed a standardized methodology to apply the FFQ </w:t>
      </w:r>
      <w:r w:rsidR="00E6272D" w:rsidRPr="005E7AA7">
        <w:rPr>
          <w:rFonts w:ascii="Garamond" w:hAnsi="Garamond"/>
          <w:sz w:val="22"/>
          <w:szCs w:val="22"/>
          <w:lang w:val="en-US"/>
        </w:rPr>
        <w:fldChar w:fldCharType="begin" w:fldLock="1"/>
      </w:r>
      <w:r w:rsidR="00033477" w:rsidRPr="005E7AA7">
        <w:rPr>
          <w:rFonts w:ascii="Garamond" w:hAnsi="Garamond"/>
          <w:sz w:val="22"/>
          <w:szCs w:val="22"/>
          <w:lang w:val="en-US"/>
        </w:rPr>
        <w:instrText>ADDIN CSL_CITATION { "citationItems" : [ { "id" : "ITEM-1", "itemData" : { "author" : [ { "dropping-particle" : "", "family" : "Madrigal Fritsch", "given" : "H", "non-dropping-particle" : "", "parse-names" : false, "suffix" : "" }, { "dropping-particle" : "", "family" : "Mart\u00ednez Salgado", "given" : "H", "non-dropping-particle" : "", "parse-names" : false, "suffix" : "" } ], "id" : "ITEM-1", "issued" : { "date-parts" : [ [ "1996" ] ] }, "publisher" : "Instituto Nacional de Salud P\u00fablica", "publisher-place" : "Mexico, D.F.", "title" : "Manual de encuestas de dieta.", "type" : "book" }, "uris" : [ "http://www.mendeley.com/documents/?uuid=41d844a2-3f8d-4384-a879-400283f2de5e" ] } ], "mendeley" : { "previouslyFormattedCitation" : "(Madrigal Fritsch and Mart\u00ednez Salgado, 1996)" }, "properties" : { "noteIndex" : 0 }, "schema" : "https://github.com/citation-style-language/schema/raw/master/csl-citation.json" }</w:instrText>
      </w:r>
      <w:r w:rsidR="00E6272D" w:rsidRPr="005E7AA7">
        <w:rPr>
          <w:rFonts w:ascii="Garamond" w:hAnsi="Garamond"/>
          <w:sz w:val="22"/>
          <w:szCs w:val="22"/>
          <w:lang w:val="en-US"/>
        </w:rPr>
        <w:fldChar w:fldCharType="separate"/>
      </w:r>
      <w:r w:rsidR="00E6272D" w:rsidRPr="005E7AA7">
        <w:rPr>
          <w:rFonts w:ascii="Garamond" w:hAnsi="Garamond"/>
          <w:noProof/>
          <w:sz w:val="22"/>
          <w:szCs w:val="22"/>
          <w:lang w:val="en-US"/>
        </w:rPr>
        <w:t>(Madrigal Fritsch and Martínez Salgado, 1996)</w:t>
      </w:r>
      <w:r w:rsidR="00E6272D" w:rsidRPr="005E7AA7">
        <w:rPr>
          <w:rFonts w:ascii="Garamond" w:hAnsi="Garamond"/>
          <w:sz w:val="22"/>
          <w:szCs w:val="22"/>
          <w:lang w:val="en-US"/>
        </w:rPr>
        <w:fldChar w:fldCharType="end"/>
      </w:r>
      <w:r w:rsidRPr="005E7AA7">
        <w:rPr>
          <w:rFonts w:ascii="Garamond" w:hAnsi="Garamond"/>
          <w:sz w:val="22"/>
          <w:szCs w:val="22"/>
          <w:lang w:val="en-US"/>
        </w:rPr>
        <w:t xml:space="preserve"> and we are confident that </w:t>
      </w:r>
      <w:r w:rsidR="00E6272D" w:rsidRPr="005E7AA7">
        <w:rPr>
          <w:rFonts w:ascii="Garamond" w:hAnsi="Garamond"/>
          <w:sz w:val="22"/>
          <w:szCs w:val="22"/>
          <w:lang w:val="en-US"/>
        </w:rPr>
        <w:t>virtually all</w:t>
      </w:r>
      <w:r w:rsidRPr="005E7AA7">
        <w:rPr>
          <w:rFonts w:ascii="Garamond" w:hAnsi="Garamond"/>
          <w:sz w:val="22"/>
          <w:szCs w:val="22"/>
          <w:lang w:val="en-US"/>
        </w:rPr>
        <w:t xml:space="preserve"> the food consumed </w:t>
      </w:r>
      <w:r w:rsidR="00E6272D" w:rsidRPr="005E7AA7">
        <w:rPr>
          <w:rFonts w:ascii="Garamond" w:hAnsi="Garamond"/>
          <w:sz w:val="22"/>
          <w:szCs w:val="22"/>
          <w:lang w:val="en-US"/>
        </w:rPr>
        <w:t xml:space="preserve">at home by the mother and the child </w:t>
      </w:r>
      <w:r w:rsidRPr="005E7AA7">
        <w:rPr>
          <w:rFonts w:ascii="Garamond" w:hAnsi="Garamond"/>
          <w:sz w:val="22"/>
          <w:szCs w:val="22"/>
          <w:lang w:val="en-US"/>
        </w:rPr>
        <w:t>were recorded.</w:t>
      </w:r>
      <w:r w:rsidR="00D06004" w:rsidRPr="005E7AA7">
        <w:rPr>
          <w:rFonts w:ascii="Garamond" w:hAnsi="Garamond"/>
          <w:sz w:val="22"/>
          <w:szCs w:val="22"/>
          <w:lang w:val="en-US"/>
        </w:rPr>
        <w:t xml:space="preserve"> </w:t>
      </w:r>
      <w:r w:rsidR="00D06004" w:rsidRPr="005E7AA7">
        <w:rPr>
          <w:rFonts w:ascii="Garamond" w:hAnsi="Garamond"/>
          <w:sz w:val="22"/>
          <w:szCs w:val="22"/>
        </w:rPr>
        <w:t>We likely missed some foods consumed out of the home, such as soft-drinks and snack foods consumed by children. Not recoding these items will underestimate the weekly frequencies</w:t>
      </w:r>
      <w:r w:rsidR="00D80B96" w:rsidRPr="005E7AA7">
        <w:rPr>
          <w:rFonts w:ascii="Garamond" w:hAnsi="Garamond"/>
          <w:sz w:val="22"/>
          <w:szCs w:val="22"/>
        </w:rPr>
        <w:t xml:space="preserve"> and more conservatively estimate total food intake</w:t>
      </w:r>
      <w:r w:rsidR="00D06004" w:rsidRPr="005E7AA7">
        <w:rPr>
          <w:rFonts w:ascii="Garamond" w:hAnsi="Garamond"/>
          <w:sz w:val="22"/>
          <w:szCs w:val="22"/>
        </w:rPr>
        <w:t>.</w:t>
      </w:r>
    </w:p>
    <w:p w:rsidR="00140E46" w:rsidRPr="005E7AA7" w:rsidRDefault="00140E46" w:rsidP="00140E46">
      <w:pPr>
        <w:rPr>
          <w:rFonts w:ascii="Garamond" w:hAnsi="Garamond"/>
          <w:sz w:val="22"/>
          <w:szCs w:val="22"/>
          <w:lang w:val="en-US"/>
        </w:rPr>
      </w:pPr>
      <w:r w:rsidRPr="005E7AA7">
        <w:rPr>
          <w:rFonts w:ascii="Garamond" w:hAnsi="Garamond"/>
          <w:sz w:val="22"/>
          <w:szCs w:val="22"/>
          <w:lang w:val="en-US"/>
        </w:rPr>
        <w:t xml:space="preserve">Analysis Procedures  </w:t>
      </w:r>
    </w:p>
    <w:p w:rsidR="009268D0" w:rsidRPr="005E7AA7" w:rsidRDefault="00F43626" w:rsidP="005E7AA7">
      <w:pPr>
        <w:rPr>
          <w:rFonts w:ascii="Garamond" w:hAnsi="Garamond"/>
          <w:sz w:val="22"/>
          <w:szCs w:val="22"/>
          <w:lang w:val="en-US"/>
        </w:rPr>
      </w:pPr>
      <w:r w:rsidRPr="005E7AA7">
        <w:rPr>
          <w:rFonts w:ascii="Garamond" w:hAnsi="Garamond"/>
          <w:sz w:val="22"/>
          <w:szCs w:val="22"/>
          <w:lang w:val="en-US"/>
        </w:rPr>
        <w:t xml:space="preserve">All analyses were done separately for the mothers as a group and then for children as a group. </w:t>
      </w:r>
      <w:r w:rsidR="00136B71" w:rsidRPr="005E7AA7">
        <w:rPr>
          <w:rFonts w:ascii="Garamond" w:hAnsi="Garamond"/>
          <w:sz w:val="22"/>
          <w:szCs w:val="22"/>
          <w:lang w:val="en-US"/>
        </w:rPr>
        <w:t xml:space="preserve">There were no significant differences between the boys and girls in height, weight, or frequencies of foods consumed. </w:t>
      </w:r>
      <w:r w:rsidRPr="005E7AA7">
        <w:rPr>
          <w:rFonts w:ascii="Garamond" w:hAnsi="Garamond"/>
          <w:sz w:val="22"/>
          <w:szCs w:val="22"/>
          <w:lang w:val="en-US"/>
        </w:rPr>
        <w:t>For each group, t</w:t>
      </w:r>
      <w:r w:rsidR="00140E46" w:rsidRPr="005E7AA7">
        <w:rPr>
          <w:rFonts w:ascii="Garamond" w:hAnsi="Garamond"/>
          <w:sz w:val="22"/>
          <w:szCs w:val="22"/>
          <w:lang w:val="en-US"/>
        </w:rPr>
        <w:t>he frequenc</w:t>
      </w:r>
      <w:r w:rsidRPr="005E7AA7">
        <w:rPr>
          <w:rFonts w:ascii="Garamond" w:hAnsi="Garamond"/>
          <w:sz w:val="22"/>
          <w:szCs w:val="22"/>
          <w:lang w:val="en-US"/>
        </w:rPr>
        <w:t>y</w:t>
      </w:r>
      <w:r w:rsidR="00140E46" w:rsidRPr="005E7AA7">
        <w:rPr>
          <w:rFonts w:ascii="Garamond" w:hAnsi="Garamond"/>
          <w:sz w:val="22"/>
          <w:szCs w:val="22"/>
          <w:lang w:val="en-US"/>
        </w:rPr>
        <w:t xml:space="preserve"> of consumption </w:t>
      </w:r>
      <w:r w:rsidRPr="005E7AA7">
        <w:rPr>
          <w:rFonts w:ascii="Garamond" w:hAnsi="Garamond"/>
          <w:sz w:val="22"/>
          <w:szCs w:val="22"/>
          <w:lang w:val="en-US"/>
        </w:rPr>
        <w:t xml:space="preserve">of each of the 78 foods was categorized </w:t>
      </w:r>
      <w:r w:rsidR="00140E46" w:rsidRPr="005E7AA7">
        <w:rPr>
          <w:rFonts w:ascii="Garamond" w:hAnsi="Garamond"/>
          <w:sz w:val="22"/>
          <w:szCs w:val="22"/>
          <w:lang w:val="en-US"/>
        </w:rPr>
        <w:t>in four levels: 1) no consumption</w:t>
      </w:r>
      <w:r w:rsidR="005E636B" w:rsidRPr="005E7AA7">
        <w:rPr>
          <w:rFonts w:ascii="Garamond" w:hAnsi="Garamond"/>
          <w:sz w:val="22"/>
          <w:szCs w:val="22"/>
          <w:lang w:val="en-US"/>
        </w:rPr>
        <w:t xml:space="preserve"> (or less than weekly consumption)</w:t>
      </w:r>
      <w:r w:rsidR="00140E46" w:rsidRPr="005E7AA7">
        <w:rPr>
          <w:rFonts w:ascii="Garamond" w:hAnsi="Garamond"/>
          <w:sz w:val="22"/>
          <w:szCs w:val="22"/>
          <w:lang w:val="en-US"/>
        </w:rPr>
        <w:t xml:space="preserve">, 2) </w:t>
      </w:r>
      <w:r w:rsidR="006C3886" w:rsidRPr="005E7AA7">
        <w:rPr>
          <w:rFonts w:ascii="Garamond" w:hAnsi="Garamond"/>
          <w:sz w:val="22"/>
          <w:szCs w:val="22"/>
          <w:lang w:val="en-US"/>
        </w:rPr>
        <w:t xml:space="preserve">low consumption, at </w:t>
      </w:r>
      <w:r w:rsidR="00140E46" w:rsidRPr="005E7AA7">
        <w:rPr>
          <w:rFonts w:ascii="Garamond" w:hAnsi="Garamond"/>
          <w:sz w:val="22"/>
          <w:szCs w:val="22"/>
          <w:lang w:val="en-US"/>
        </w:rPr>
        <w:t xml:space="preserve">1-2 days/week, 3) </w:t>
      </w:r>
      <w:r w:rsidR="006C3886" w:rsidRPr="005E7AA7">
        <w:rPr>
          <w:rFonts w:ascii="Garamond" w:hAnsi="Garamond"/>
          <w:sz w:val="22"/>
          <w:szCs w:val="22"/>
          <w:lang w:val="en-US"/>
        </w:rPr>
        <w:t xml:space="preserve">medium consumption, at </w:t>
      </w:r>
      <w:r w:rsidR="00140E46" w:rsidRPr="005E7AA7">
        <w:rPr>
          <w:rFonts w:ascii="Garamond" w:hAnsi="Garamond"/>
          <w:sz w:val="22"/>
          <w:szCs w:val="22"/>
          <w:lang w:val="en-US"/>
        </w:rPr>
        <w:t xml:space="preserve">3-4 days/week, </w:t>
      </w:r>
      <w:r w:rsidR="006C3886" w:rsidRPr="005E7AA7">
        <w:rPr>
          <w:rFonts w:ascii="Garamond" w:hAnsi="Garamond"/>
          <w:sz w:val="22"/>
          <w:szCs w:val="22"/>
          <w:lang w:val="en-US"/>
        </w:rPr>
        <w:t xml:space="preserve">or 4) high consumption, at </w:t>
      </w:r>
      <w:r w:rsidR="00140E46" w:rsidRPr="005E7AA7">
        <w:rPr>
          <w:rFonts w:ascii="Garamond" w:hAnsi="Garamond"/>
          <w:sz w:val="22"/>
          <w:szCs w:val="22"/>
          <w:lang w:val="en-US"/>
        </w:rPr>
        <w:t xml:space="preserve">5-7 days/week. </w:t>
      </w:r>
    </w:p>
    <w:p w:rsidR="006B43ED" w:rsidRPr="005E7AA7" w:rsidRDefault="009268D0" w:rsidP="005E7AA7">
      <w:pPr>
        <w:rPr>
          <w:rFonts w:ascii="Garamond" w:hAnsi="Garamond"/>
          <w:sz w:val="22"/>
          <w:szCs w:val="22"/>
          <w:lang w:val="en-US"/>
        </w:rPr>
      </w:pPr>
      <w:r w:rsidRPr="005E7AA7">
        <w:rPr>
          <w:rFonts w:ascii="Garamond" w:hAnsi="Garamond"/>
          <w:sz w:val="22"/>
          <w:szCs w:val="22"/>
          <w:lang w:val="en-US"/>
        </w:rPr>
        <w:t>Detailed tables of t</w:t>
      </w:r>
      <w:r w:rsidR="009E1E91" w:rsidRPr="005E7AA7">
        <w:rPr>
          <w:rFonts w:ascii="Garamond" w:hAnsi="Garamond"/>
          <w:sz w:val="22"/>
          <w:szCs w:val="22"/>
          <w:lang w:val="en-US"/>
        </w:rPr>
        <w:t xml:space="preserve">hese frequencies have been reported by Azcorra et al. (under review) and are not repeated here. </w:t>
      </w:r>
      <w:r w:rsidR="00D84C85" w:rsidRPr="005E7AA7">
        <w:rPr>
          <w:rFonts w:ascii="Garamond" w:hAnsi="Garamond"/>
          <w:sz w:val="22"/>
          <w:szCs w:val="22"/>
          <w:lang w:val="en-US"/>
        </w:rPr>
        <w:t>We provide here a summar</w:t>
      </w:r>
      <w:r w:rsidR="00476B14" w:rsidRPr="005E7AA7">
        <w:rPr>
          <w:rFonts w:ascii="Garamond" w:hAnsi="Garamond"/>
          <w:sz w:val="22"/>
          <w:szCs w:val="22"/>
          <w:lang w:val="en-US"/>
        </w:rPr>
        <w:t>y of these data to show the most common to least common foods eaten. We evalu</w:t>
      </w:r>
      <w:r w:rsidR="00C02BD8" w:rsidRPr="005E7AA7">
        <w:rPr>
          <w:rFonts w:ascii="Garamond" w:hAnsi="Garamond"/>
          <w:sz w:val="22"/>
          <w:szCs w:val="22"/>
          <w:lang w:val="en-US"/>
        </w:rPr>
        <w:t>ate the nutritional adequacy of our participants</w:t>
      </w:r>
      <w:r w:rsidR="00B371E7" w:rsidRPr="005E7AA7">
        <w:rPr>
          <w:rFonts w:ascii="Garamond" w:hAnsi="Garamond"/>
          <w:sz w:val="22"/>
          <w:szCs w:val="22"/>
          <w:lang w:val="en-US"/>
        </w:rPr>
        <w:t xml:space="preserve"> by comparison </w:t>
      </w:r>
      <w:r w:rsidR="00862555" w:rsidRPr="005E7AA7">
        <w:rPr>
          <w:rFonts w:ascii="Garamond" w:hAnsi="Garamond"/>
          <w:sz w:val="22"/>
          <w:szCs w:val="22"/>
          <w:lang w:val="en-US"/>
        </w:rPr>
        <w:t xml:space="preserve">of the frequencies </w:t>
      </w:r>
      <w:r w:rsidR="00B371E7" w:rsidRPr="005E7AA7">
        <w:rPr>
          <w:rFonts w:ascii="Garamond" w:hAnsi="Garamond"/>
          <w:sz w:val="22"/>
          <w:szCs w:val="22"/>
          <w:lang w:val="en-US"/>
        </w:rPr>
        <w:t>with findings from Mexican National Health and Nutrition Survey (</w:t>
      </w:r>
      <w:proofErr w:type="spellStart"/>
      <w:r w:rsidR="00B371E7" w:rsidRPr="005E7AA7">
        <w:rPr>
          <w:rFonts w:ascii="Garamond" w:hAnsi="Garamond"/>
          <w:i/>
          <w:sz w:val="22"/>
          <w:szCs w:val="22"/>
          <w:lang w:val="en-US"/>
        </w:rPr>
        <w:t>Encuesta</w:t>
      </w:r>
      <w:proofErr w:type="spellEnd"/>
      <w:r w:rsidR="00B371E7" w:rsidRPr="005E7AA7">
        <w:rPr>
          <w:rFonts w:ascii="Garamond" w:hAnsi="Garamond"/>
          <w:i/>
          <w:sz w:val="22"/>
          <w:szCs w:val="22"/>
          <w:lang w:val="en-US"/>
        </w:rPr>
        <w:t xml:space="preserve"> </w:t>
      </w:r>
      <w:proofErr w:type="spellStart"/>
      <w:r w:rsidR="00B371E7" w:rsidRPr="005E7AA7">
        <w:rPr>
          <w:rFonts w:ascii="Garamond" w:hAnsi="Garamond"/>
          <w:i/>
          <w:sz w:val="22"/>
          <w:szCs w:val="22"/>
          <w:lang w:val="en-US"/>
        </w:rPr>
        <w:t>Nacional</w:t>
      </w:r>
      <w:proofErr w:type="spellEnd"/>
      <w:r w:rsidR="00B371E7" w:rsidRPr="005E7AA7">
        <w:rPr>
          <w:rFonts w:ascii="Garamond" w:hAnsi="Garamond"/>
          <w:i/>
          <w:sz w:val="22"/>
          <w:szCs w:val="22"/>
          <w:lang w:val="en-US"/>
        </w:rPr>
        <w:t xml:space="preserve"> de </w:t>
      </w:r>
      <w:proofErr w:type="spellStart"/>
      <w:r w:rsidR="00B371E7" w:rsidRPr="005E7AA7">
        <w:rPr>
          <w:rFonts w:ascii="Garamond" w:hAnsi="Garamond"/>
          <w:i/>
          <w:sz w:val="22"/>
          <w:szCs w:val="22"/>
          <w:lang w:val="en-US"/>
        </w:rPr>
        <w:t>Salud</w:t>
      </w:r>
      <w:proofErr w:type="spellEnd"/>
      <w:r w:rsidR="00B371E7" w:rsidRPr="005E7AA7">
        <w:rPr>
          <w:rFonts w:ascii="Garamond" w:hAnsi="Garamond"/>
          <w:i/>
          <w:sz w:val="22"/>
          <w:szCs w:val="22"/>
          <w:lang w:val="en-US"/>
        </w:rPr>
        <w:t xml:space="preserve"> y </w:t>
      </w:r>
      <w:proofErr w:type="spellStart"/>
      <w:r w:rsidR="00B371E7" w:rsidRPr="005E7AA7">
        <w:rPr>
          <w:rFonts w:ascii="Garamond" w:hAnsi="Garamond"/>
          <w:i/>
          <w:sz w:val="22"/>
          <w:szCs w:val="22"/>
          <w:lang w:val="en-US"/>
        </w:rPr>
        <w:t>Nutrición</w:t>
      </w:r>
      <w:proofErr w:type="spellEnd"/>
      <w:r w:rsidR="00B371E7" w:rsidRPr="005E7AA7">
        <w:rPr>
          <w:rFonts w:ascii="Garamond" w:hAnsi="Garamond"/>
          <w:sz w:val="22"/>
          <w:szCs w:val="22"/>
          <w:lang w:val="en-US"/>
        </w:rPr>
        <w:t xml:space="preserve">) of 2006 </w:t>
      </w:r>
      <w:r w:rsidR="00B371E7" w:rsidRPr="005E7AA7">
        <w:rPr>
          <w:rFonts w:ascii="Garamond" w:hAnsi="Garamond"/>
          <w:sz w:val="22"/>
          <w:szCs w:val="22"/>
          <w:lang w:val="en-US"/>
        </w:rPr>
        <w:fldChar w:fldCharType="begin" w:fldLock="1"/>
      </w:r>
      <w:r w:rsidR="00033477" w:rsidRPr="005E7AA7">
        <w:rPr>
          <w:rFonts w:ascii="Garamond" w:hAnsi="Garamond"/>
          <w:sz w:val="22"/>
          <w:szCs w:val="22"/>
          <w:lang w:val="en-US"/>
        </w:rPr>
        <w:instrText>ADDIN CSL_CITATION { "citationItems" : [ { "id" : "ITEM-1", "itemData" : { "author" : [ { "dropping-particle" : "", "family" : "Instituto Nacional de Salud P\u00fablica", "given" : "", "non-dropping-particle" : "", "parse-names" : false, "suffix" : "" } ], "id" : "ITEM-1", "issued" : { "date-parts" : [ [ "2007" ] ] }, "publisher-place" : "Cuernavaca, M\u00e9xico", "title" : "Encuesta Nacional de Salud y Nutrici\u00f3n 2006. Resultados por entidad federativa, Yucat\u00e1n.", "type" : "report" }, "uris" : [ "http://www.mendeley.com/documents/?uuid=146ca59f-1149-4bff-b496-416ff3c4e653" ] } ], "mendeley" : { "manualFormatting" : "(Instituto Nacional de Salud P\u00fablica, 2007)", "previouslyFormattedCitation" : "(Instituto Nacional de Salud P\u00fablica, 2007)" }, "properties" : { "noteIndex" : 0 }, "schema" : "https://github.com/citation-style-language/schema/raw/master/csl-citation.json" }</w:instrText>
      </w:r>
      <w:r w:rsidR="00B371E7" w:rsidRPr="005E7AA7">
        <w:rPr>
          <w:rFonts w:ascii="Garamond" w:hAnsi="Garamond"/>
          <w:sz w:val="22"/>
          <w:szCs w:val="22"/>
          <w:lang w:val="en-US"/>
        </w:rPr>
        <w:fldChar w:fldCharType="separate"/>
      </w:r>
      <w:r w:rsidR="00B371E7" w:rsidRPr="005E7AA7">
        <w:rPr>
          <w:rFonts w:ascii="Garamond" w:hAnsi="Garamond"/>
          <w:noProof/>
          <w:sz w:val="22"/>
          <w:szCs w:val="22"/>
          <w:lang w:val="en-US"/>
        </w:rPr>
        <w:t>(Instituto Nacional de Salud Pública, 2007)</w:t>
      </w:r>
      <w:r w:rsidR="00B371E7" w:rsidRPr="005E7AA7">
        <w:rPr>
          <w:rFonts w:ascii="Garamond" w:hAnsi="Garamond"/>
          <w:sz w:val="22"/>
          <w:szCs w:val="22"/>
          <w:lang w:val="en-US"/>
        </w:rPr>
        <w:fldChar w:fldCharType="end"/>
      </w:r>
      <w:r w:rsidR="00B371E7" w:rsidRPr="005E7AA7">
        <w:rPr>
          <w:rFonts w:ascii="Garamond" w:hAnsi="Garamond"/>
          <w:sz w:val="22"/>
          <w:szCs w:val="22"/>
          <w:lang w:val="en-US"/>
        </w:rPr>
        <w:t xml:space="preserve"> and other studies conducted in the state of Yucatan and city of Merida.</w:t>
      </w:r>
    </w:p>
    <w:p w:rsidR="00531A6A" w:rsidRPr="005E7AA7" w:rsidRDefault="00F869F3" w:rsidP="005E7AA7">
      <w:pPr>
        <w:rPr>
          <w:rFonts w:ascii="Garamond" w:hAnsi="Garamond"/>
          <w:sz w:val="22"/>
          <w:szCs w:val="22"/>
          <w:lang w:val="en-US"/>
        </w:rPr>
      </w:pPr>
      <w:r w:rsidRPr="005E7AA7">
        <w:rPr>
          <w:rFonts w:ascii="Garamond" w:hAnsi="Garamond"/>
          <w:sz w:val="22"/>
          <w:szCs w:val="22"/>
          <w:lang w:val="en-US"/>
        </w:rPr>
        <w:t>The findings from the food frequency questionnaire are that, i</w:t>
      </w:r>
      <w:r w:rsidR="00CC084C" w:rsidRPr="005E7AA7">
        <w:rPr>
          <w:rFonts w:ascii="Garamond" w:hAnsi="Garamond"/>
          <w:sz w:val="22"/>
          <w:szCs w:val="22"/>
          <w:lang w:val="en-US"/>
        </w:rPr>
        <w:t>n general</w:t>
      </w:r>
      <w:r w:rsidRPr="005E7AA7">
        <w:rPr>
          <w:rFonts w:ascii="Garamond" w:hAnsi="Garamond"/>
          <w:sz w:val="22"/>
          <w:szCs w:val="22"/>
          <w:lang w:val="en-US"/>
        </w:rPr>
        <w:t>, the Maya mothers and their children eat</w:t>
      </w:r>
      <w:r w:rsidR="00531A6A" w:rsidRPr="005E7AA7">
        <w:rPr>
          <w:rFonts w:ascii="Garamond" w:hAnsi="Garamond"/>
          <w:sz w:val="22"/>
          <w:szCs w:val="22"/>
          <w:lang w:val="en-US"/>
        </w:rPr>
        <w:t>:</w:t>
      </w:r>
    </w:p>
    <w:p w:rsidR="00531A6A" w:rsidRPr="005E7AA7" w:rsidRDefault="00D73656" w:rsidP="00531A6A">
      <w:pPr>
        <w:pStyle w:val="ListParagraph"/>
        <w:numPr>
          <w:ilvl w:val="0"/>
          <w:numId w:val="2"/>
        </w:numPr>
        <w:rPr>
          <w:rFonts w:ascii="Garamond" w:hAnsi="Garamond"/>
          <w:sz w:val="22"/>
          <w:szCs w:val="22"/>
          <w:lang w:val="en-US"/>
        </w:rPr>
      </w:pPr>
      <w:r w:rsidRPr="005E7AA7">
        <w:rPr>
          <w:rFonts w:ascii="Garamond" w:hAnsi="Garamond"/>
          <w:sz w:val="22"/>
          <w:szCs w:val="22"/>
          <w:lang w:val="en-US"/>
        </w:rPr>
        <w:t>A</w:t>
      </w:r>
      <w:r w:rsidR="00CC084C" w:rsidRPr="005E7AA7">
        <w:rPr>
          <w:rFonts w:ascii="Garamond" w:hAnsi="Garamond"/>
          <w:sz w:val="22"/>
          <w:szCs w:val="22"/>
          <w:lang w:val="en-US"/>
        </w:rPr>
        <w:t xml:space="preserve"> high consumption of maize </w:t>
      </w:r>
      <w:r w:rsidR="00CC084C" w:rsidRPr="005E7AA7">
        <w:rPr>
          <w:rFonts w:ascii="Garamond" w:hAnsi="Garamond"/>
          <w:i/>
          <w:sz w:val="22"/>
          <w:szCs w:val="22"/>
          <w:lang w:val="en-US"/>
        </w:rPr>
        <w:t xml:space="preserve">tortillas </w:t>
      </w:r>
      <w:r w:rsidR="00CC084C" w:rsidRPr="005E7AA7">
        <w:rPr>
          <w:rFonts w:ascii="Garamond" w:hAnsi="Garamond"/>
          <w:sz w:val="22"/>
          <w:szCs w:val="22"/>
          <w:lang w:val="en-US"/>
        </w:rPr>
        <w:t>and locally produced wheat bag</w:t>
      </w:r>
      <w:r w:rsidR="009A4312" w:rsidRPr="005E7AA7">
        <w:rPr>
          <w:rFonts w:ascii="Garamond" w:hAnsi="Garamond"/>
          <w:sz w:val="22"/>
          <w:szCs w:val="22"/>
          <w:lang w:val="en-US"/>
        </w:rPr>
        <w:t>u</w:t>
      </w:r>
      <w:r w:rsidR="00CC084C" w:rsidRPr="005E7AA7">
        <w:rPr>
          <w:rFonts w:ascii="Garamond" w:hAnsi="Garamond"/>
          <w:sz w:val="22"/>
          <w:szCs w:val="22"/>
          <w:lang w:val="en-US"/>
        </w:rPr>
        <w:t xml:space="preserve">ettes </w:t>
      </w:r>
      <w:r w:rsidR="00531A6A" w:rsidRPr="005E7AA7">
        <w:rPr>
          <w:rFonts w:ascii="Garamond" w:hAnsi="Garamond"/>
          <w:sz w:val="22"/>
          <w:szCs w:val="22"/>
          <w:lang w:val="en-US"/>
        </w:rPr>
        <w:t>(</w:t>
      </w:r>
      <w:r w:rsidR="00CC084C" w:rsidRPr="005E7AA7">
        <w:rPr>
          <w:rFonts w:ascii="Garamond" w:hAnsi="Garamond"/>
          <w:sz w:val="22"/>
          <w:szCs w:val="22"/>
          <w:lang w:val="en-US"/>
        </w:rPr>
        <w:t xml:space="preserve">called </w:t>
      </w:r>
      <w:r w:rsidR="00CC084C" w:rsidRPr="005E7AA7">
        <w:rPr>
          <w:rFonts w:ascii="Garamond" w:hAnsi="Garamond"/>
          <w:i/>
          <w:sz w:val="22"/>
          <w:szCs w:val="22"/>
          <w:lang w:val="en-US"/>
        </w:rPr>
        <w:t xml:space="preserve">pan </w:t>
      </w:r>
      <w:proofErr w:type="spellStart"/>
      <w:r w:rsidR="00B91E31" w:rsidRPr="005E7AA7">
        <w:rPr>
          <w:rFonts w:ascii="Garamond" w:hAnsi="Garamond"/>
          <w:i/>
          <w:sz w:val="22"/>
          <w:szCs w:val="22"/>
          <w:lang w:val="en-US"/>
        </w:rPr>
        <w:t>francés</w:t>
      </w:r>
      <w:proofErr w:type="spellEnd"/>
      <w:r w:rsidR="00531A6A" w:rsidRPr="005E7AA7">
        <w:rPr>
          <w:rFonts w:ascii="Garamond" w:hAnsi="Garamond"/>
          <w:sz w:val="22"/>
          <w:szCs w:val="22"/>
          <w:lang w:val="en-US"/>
        </w:rPr>
        <w:t>)</w:t>
      </w:r>
      <w:r w:rsidR="00CC084C" w:rsidRPr="005E7AA7">
        <w:rPr>
          <w:rFonts w:ascii="Garamond" w:hAnsi="Garamond"/>
          <w:sz w:val="22"/>
          <w:szCs w:val="22"/>
          <w:lang w:val="en-US"/>
        </w:rPr>
        <w:t>, a medium consumption of rice, pasta, and sugar</w:t>
      </w:r>
      <w:r w:rsidR="00531A6A" w:rsidRPr="005E7AA7">
        <w:rPr>
          <w:rFonts w:ascii="Garamond" w:hAnsi="Garamond"/>
          <w:sz w:val="22"/>
          <w:szCs w:val="22"/>
          <w:lang w:val="en-US"/>
        </w:rPr>
        <w:t>-</w:t>
      </w:r>
      <w:r w:rsidR="00CC084C" w:rsidRPr="005E7AA7">
        <w:rPr>
          <w:rFonts w:ascii="Garamond" w:hAnsi="Garamond"/>
          <w:sz w:val="22"/>
          <w:szCs w:val="22"/>
          <w:lang w:val="en-US"/>
        </w:rPr>
        <w:t>sweetened refined wheat bread (</w:t>
      </w:r>
      <w:r w:rsidR="00531A6A" w:rsidRPr="005E7AA7">
        <w:rPr>
          <w:rFonts w:ascii="Garamond" w:hAnsi="Garamond"/>
          <w:sz w:val="22"/>
          <w:szCs w:val="22"/>
          <w:lang w:val="en-US"/>
        </w:rPr>
        <w:t xml:space="preserve">called </w:t>
      </w:r>
      <w:r w:rsidR="00CC084C" w:rsidRPr="005E7AA7">
        <w:rPr>
          <w:rFonts w:ascii="Garamond" w:hAnsi="Garamond"/>
          <w:i/>
          <w:sz w:val="22"/>
          <w:szCs w:val="22"/>
          <w:lang w:val="en-US"/>
        </w:rPr>
        <w:t xml:space="preserve">pan </w:t>
      </w:r>
      <w:proofErr w:type="spellStart"/>
      <w:r w:rsidR="00CC084C" w:rsidRPr="005E7AA7">
        <w:rPr>
          <w:rFonts w:ascii="Garamond" w:hAnsi="Garamond"/>
          <w:i/>
          <w:sz w:val="22"/>
          <w:szCs w:val="22"/>
          <w:lang w:val="en-US"/>
        </w:rPr>
        <w:t>dulce</w:t>
      </w:r>
      <w:proofErr w:type="spellEnd"/>
      <w:r w:rsidR="00CC084C" w:rsidRPr="005E7AA7">
        <w:rPr>
          <w:rFonts w:ascii="Garamond" w:hAnsi="Garamond"/>
          <w:sz w:val="22"/>
          <w:szCs w:val="22"/>
          <w:lang w:val="en-US"/>
        </w:rPr>
        <w:t>), and low consumption of refi</w:t>
      </w:r>
      <w:r w:rsidR="009A4312" w:rsidRPr="005E7AA7">
        <w:rPr>
          <w:rFonts w:ascii="Garamond" w:hAnsi="Garamond"/>
          <w:sz w:val="22"/>
          <w:szCs w:val="22"/>
          <w:lang w:val="en-US"/>
        </w:rPr>
        <w:t>ned wheat white bread (</w:t>
      </w:r>
      <w:r w:rsidR="00531A6A" w:rsidRPr="005E7AA7">
        <w:rPr>
          <w:rFonts w:ascii="Garamond" w:hAnsi="Garamond"/>
          <w:sz w:val="22"/>
          <w:szCs w:val="22"/>
          <w:lang w:val="en-US"/>
        </w:rPr>
        <w:t xml:space="preserve">called </w:t>
      </w:r>
      <w:r w:rsidR="009A4312" w:rsidRPr="005E7AA7">
        <w:rPr>
          <w:rFonts w:ascii="Garamond" w:hAnsi="Garamond"/>
          <w:i/>
          <w:sz w:val="22"/>
          <w:szCs w:val="22"/>
          <w:lang w:val="en-US"/>
        </w:rPr>
        <w:t xml:space="preserve">pan </w:t>
      </w:r>
      <w:proofErr w:type="spellStart"/>
      <w:r w:rsidR="009A4312" w:rsidRPr="005E7AA7">
        <w:rPr>
          <w:rFonts w:ascii="Garamond" w:hAnsi="Garamond"/>
          <w:i/>
          <w:sz w:val="22"/>
          <w:szCs w:val="22"/>
          <w:lang w:val="en-US"/>
        </w:rPr>
        <w:t>blanco</w:t>
      </w:r>
      <w:proofErr w:type="spellEnd"/>
      <w:r w:rsidR="009A4312" w:rsidRPr="005E7AA7">
        <w:rPr>
          <w:rFonts w:ascii="Garamond" w:hAnsi="Garamond"/>
          <w:sz w:val="22"/>
          <w:szCs w:val="22"/>
          <w:lang w:val="en-US"/>
        </w:rPr>
        <w:t>)</w:t>
      </w:r>
      <w:r w:rsidR="0097243E" w:rsidRPr="005E7AA7">
        <w:rPr>
          <w:rFonts w:ascii="Garamond" w:hAnsi="Garamond"/>
          <w:sz w:val="22"/>
          <w:szCs w:val="22"/>
          <w:lang w:val="en-US"/>
        </w:rPr>
        <w:t xml:space="preserve"> or high fiber carbohydrates, such as oats</w:t>
      </w:r>
      <w:r w:rsidR="00CC084C" w:rsidRPr="005E7AA7">
        <w:rPr>
          <w:rFonts w:ascii="Garamond" w:hAnsi="Garamond"/>
          <w:sz w:val="22"/>
          <w:szCs w:val="22"/>
          <w:lang w:val="en-US"/>
        </w:rPr>
        <w:t>.</w:t>
      </w:r>
      <w:r w:rsidR="0097243E" w:rsidRPr="005E7AA7">
        <w:rPr>
          <w:rFonts w:ascii="Garamond" w:hAnsi="Garamond"/>
          <w:sz w:val="22"/>
          <w:szCs w:val="22"/>
          <w:lang w:val="en-US"/>
        </w:rPr>
        <w:t xml:space="preserve"> </w:t>
      </w:r>
    </w:p>
    <w:p w:rsidR="00AF3A1E" w:rsidRPr="005E7AA7" w:rsidRDefault="00D73656" w:rsidP="00531A6A">
      <w:pPr>
        <w:pStyle w:val="ListParagraph"/>
        <w:numPr>
          <w:ilvl w:val="0"/>
          <w:numId w:val="2"/>
        </w:numPr>
        <w:rPr>
          <w:rFonts w:ascii="Garamond" w:hAnsi="Garamond"/>
          <w:sz w:val="22"/>
          <w:szCs w:val="22"/>
          <w:lang w:val="en-US"/>
        </w:rPr>
      </w:pPr>
      <w:r w:rsidRPr="005E7AA7">
        <w:rPr>
          <w:rFonts w:ascii="Garamond" w:hAnsi="Garamond"/>
          <w:sz w:val="22"/>
          <w:szCs w:val="22"/>
          <w:lang w:val="en-US"/>
        </w:rPr>
        <w:t xml:space="preserve">Beans were consumed in low to high amounts, </w:t>
      </w:r>
      <w:r w:rsidR="00531A6A" w:rsidRPr="005E7AA7">
        <w:rPr>
          <w:rFonts w:ascii="Garamond" w:hAnsi="Garamond"/>
          <w:sz w:val="22"/>
          <w:szCs w:val="22"/>
          <w:lang w:val="en-US"/>
        </w:rPr>
        <w:t>p</w:t>
      </w:r>
      <w:r w:rsidR="008D02BD" w:rsidRPr="005E7AA7">
        <w:rPr>
          <w:rFonts w:ascii="Garamond" w:hAnsi="Garamond"/>
          <w:sz w:val="22"/>
          <w:szCs w:val="22"/>
          <w:lang w:val="en-US"/>
        </w:rPr>
        <w:t>ork and chicken were consumed in medium to low amounts and beef and fish in low to no amounts.</w:t>
      </w:r>
    </w:p>
    <w:p w:rsidR="00531A6A" w:rsidRPr="005E7AA7" w:rsidRDefault="00D73656" w:rsidP="00531A6A">
      <w:pPr>
        <w:pStyle w:val="ListParagraph"/>
        <w:numPr>
          <w:ilvl w:val="0"/>
          <w:numId w:val="2"/>
        </w:numPr>
        <w:rPr>
          <w:rFonts w:ascii="Garamond" w:hAnsi="Garamond"/>
          <w:sz w:val="22"/>
          <w:szCs w:val="22"/>
          <w:lang w:val="en-US"/>
        </w:rPr>
      </w:pPr>
      <w:r w:rsidRPr="005E7AA7">
        <w:rPr>
          <w:rFonts w:ascii="Garamond" w:hAnsi="Garamond"/>
          <w:sz w:val="22"/>
          <w:szCs w:val="22"/>
          <w:lang w:val="en-US"/>
        </w:rPr>
        <w:t>Milk</w:t>
      </w:r>
      <w:r w:rsidR="00064D4B" w:rsidRPr="005E7AA7">
        <w:rPr>
          <w:rFonts w:ascii="Garamond" w:hAnsi="Garamond"/>
          <w:sz w:val="22"/>
          <w:szCs w:val="22"/>
          <w:lang w:val="en-US"/>
        </w:rPr>
        <w:t xml:space="preserve"> consumption was reported to be low for the mothers and high to medium for the children, with</w:t>
      </w:r>
      <w:r w:rsidR="008D02BD" w:rsidRPr="005E7AA7">
        <w:rPr>
          <w:rFonts w:ascii="Garamond" w:hAnsi="Garamond"/>
          <w:sz w:val="22"/>
          <w:szCs w:val="22"/>
          <w:lang w:val="en-US"/>
        </w:rPr>
        <w:t xml:space="preserve"> 84.5</w:t>
      </w:r>
      <w:r w:rsidR="00972C3D" w:rsidRPr="005E7AA7">
        <w:rPr>
          <w:rFonts w:ascii="Garamond" w:hAnsi="Garamond"/>
          <w:sz w:val="22"/>
          <w:szCs w:val="22"/>
          <w:lang w:val="en-US"/>
        </w:rPr>
        <w:t>%</w:t>
      </w:r>
      <w:r w:rsidR="008D02BD" w:rsidRPr="005E7AA7">
        <w:rPr>
          <w:rFonts w:ascii="Garamond" w:hAnsi="Garamond"/>
          <w:sz w:val="22"/>
          <w:szCs w:val="22"/>
          <w:lang w:val="en-US"/>
        </w:rPr>
        <w:t xml:space="preserve"> of children and 60.3</w:t>
      </w:r>
      <w:r w:rsidR="00972C3D" w:rsidRPr="005E7AA7">
        <w:rPr>
          <w:rFonts w:ascii="Garamond" w:hAnsi="Garamond"/>
          <w:sz w:val="22"/>
          <w:szCs w:val="22"/>
          <w:lang w:val="en-US"/>
        </w:rPr>
        <w:t>%</w:t>
      </w:r>
      <w:r w:rsidR="008D02BD" w:rsidRPr="005E7AA7">
        <w:rPr>
          <w:rFonts w:ascii="Garamond" w:hAnsi="Garamond"/>
          <w:sz w:val="22"/>
          <w:szCs w:val="22"/>
          <w:lang w:val="en-US"/>
        </w:rPr>
        <w:t xml:space="preserve"> of mothers consum</w:t>
      </w:r>
      <w:r w:rsidR="00064D4B" w:rsidRPr="005E7AA7">
        <w:rPr>
          <w:rFonts w:ascii="Garamond" w:hAnsi="Garamond"/>
          <w:sz w:val="22"/>
          <w:szCs w:val="22"/>
          <w:lang w:val="en-US"/>
        </w:rPr>
        <w:t>ing</w:t>
      </w:r>
      <w:r w:rsidR="008D02BD" w:rsidRPr="005E7AA7">
        <w:rPr>
          <w:rFonts w:ascii="Garamond" w:hAnsi="Garamond"/>
          <w:sz w:val="22"/>
          <w:szCs w:val="22"/>
          <w:lang w:val="en-US"/>
        </w:rPr>
        <w:t xml:space="preserve"> only whole milk</w:t>
      </w:r>
      <w:r w:rsidR="00064D4B" w:rsidRPr="005E7AA7">
        <w:rPr>
          <w:rFonts w:ascii="Garamond" w:hAnsi="Garamond"/>
          <w:sz w:val="22"/>
          <w:szCs w:val="22"/>
          <w:lang w:val="en-US"/>
        </w:rPr>
        <w:t>.</w:t>
      </w:r>
      <w:r w:rsidR="00203DB4" w:rsidRPr="005E7AA7">
        <w:rPr>
          <w:rFonts w:ascii="Garamond" w:hAnsi="Garamond"/>
          <w:sz w:val="22"/>
          <w:szCs w:val="22"/>
          <w:lang w:val="en-US"/>
        </w:rPr>
        <w:t xml:space="preserve"> </w:t>
      </w:r>
    </w:p>
    <w:p w:rsidR="00AF3A1E" w:rsidRPr="005E7AA7" w:rsidRDefault="00D73656" w:rsidP="00531A6A">
      <w:pPr>
        <w:pStyle w:val="ListParagraph"/>
        <w:numPr>
          <w:ilvl w:val="0"/>
          <w:numId w:val="2"/>
        </w:numPr>
        <w:rPr>
          <w:rFonts w:ascii="Garamond" w:hAnsi="Garamond"/>
          <w:sz w:val="22"/>
          <w:szCs w:val="22"/>
          <w:lang w:val="en-US"/>
        </w:rPr>
      </w:pPr>
      <w:r w:rsidRPr="005E7AA7">
        <w:rPr>
          <w:rFonts w:ascii="Garamond" w:hAnsi="Garamond"/>
          <w:sz w:val="22"/>
          <w:szCs w:val="22"/>
          <w:lang w:val="en-US"/>
        </w:rPr>
        <w:t>Vegetable</w:t>
      </w:r>
      <w:r w:rsidR="00203DB4" w:rsidRPr="005E7AA7">
        <w:rPr>
          <w:rFonts w:ascii="Garamond" w:hAnsi="Garamond"/>
          <w:sz w:val="22"/>
          <w:szCs w:val="22"/>
          <w:lang w:val="en-US"/>
        </w:rPr>
        <w:t xml:space="preserve"> oils and mayonnaise had high consumption, while lard and margar</w:t>
      </w:r>
      <w:r w:rsidR="00AF3A1E" w:rsidRPr="005E7AA7">
        <w:rPr>
          <w:rFonts w:ascii="Garamond" w:hAnsi="Garamond"/>
          <w:sz w:val="22"/>
          <w:szCs w:val="22"/>
          <w:lang w:val="en-US"/>
        </w:rPr>
        <w:t>ine had low consumption.</w:t>
      </w:r>
    </w:p>
    <w:p w:rsidR="00AF3A1E" w:rsidRPr="005E7AA7" w:rsidRDefault="00D73656" w:rsidP="00531A6A">
      <w:pPr>
        <w:pStyle w:val="ListParagraph"/>
        <w:numPr>
          <w:ilvl w:val="0"/>
          <w:numId w:val="2"/>
        </w:numPr>
        <w:rPr>
          <w:rFonts w:ascii="Garamond" w:hAnsi="Garamond"/>
          <w:sz w:val="22"/>
          <w:szCs w:val="22"/>
          <w:lang w:val="en-US"/>
        </w:rPr>
      </w:pPr>
      <w:r w:rsidRPr="005E7AA7">
        <w:rPr>
          <w:rFonts w:ascii="Garamond" w:hAnsi="Garamond"/>
          <w:sz w:val="22"/>
          <w:szCs w:val="22"/>
          <w:lang w:val="en-US"/>
        </w:rPr>
        <w:t>More</w:t>
      </w:r>
      <w:r w:rsidR="00203DB4" w:rsidRPr="005E7AA7">
        <w:rPr>
          <w:rFonts w:ascii="Garamond" w:hAnsi="Garamond"/>
          <w:sz w:val="22"/>
          <w:szCs w:val="22"/>
          <w:lang w:val="en-US"/>
        </w:rPr>
        <w:t xml:space="preserve"> than 70</w:t>
      </w:r>
      <w:r w:rsidR="00972C3D" w:rsidRPr="005E7AA7">
        <w:rPr>
          <w:rFonts w:ascii="Garamond" w:hAnsi="Garamond"/>
          <w:sz w:val="22"/>
          <w:szCs w:val="22"/>
          <w:lang w:val="en-US"/>
        </w:rPr>
        <w:t>%</w:t>
      </w:r>
      <w:r w:rsidR="00203DB4" w:rsidRPr="005E7AA7">
        <w:rPr>
          <w:rFonts w:ascii="Garamond" w:hAnsi="Garamond"/>
          <w:sz w:val="22"/>
          <w:szCs w:val="22"/>
          <w:lang w:val="en-US"/>
        </w:rPr>
        <w:t xml:space="preserve"> of mothers and 60</w:t>
      </w:r>
      <w:r w:rsidR="00972C3D" w:rsidRPr="005E7AA7">
        <w:rPr>
          <w:rFonts w:ascii="Garamond" w:hAnsi="Garamond"/>
          <w:sz w:val="22"/>
          <w:szCs w:val="22"/>
          <w:lang w:val="en-US"/>
        </w:rPr>
        <w:t>%</w:t>
      </w:r>
      <w:r w:rsidR="00203DB4" w:rsidRPr="005E7AA7">
        <w:rPr>
          <w:rFonts w:ascii="Garamond" w:hAnsi="Garamond"/>
          <w:sz w:val="22"/>
          <w:szCs w:val="22"/>
          <w:lang w:val="en-US"/>
        </w:rPr>
        <w:t xml:space="preserve"> of children had high to medium consumption of sugar </w:t>
      </w:r>
      <w:r w:rsidRPr="005E7AA7">
        <w:rPr>
          <w:rFonts w:ascii="Garamond" w:hAnsi="Garamond"/>
          <w:sz w:val="22"/>
          <w:szCs w:val="22"/>
          <w:lang w:val="en-US"/>
        </w:rPr>
        <w:t xml:space="preserve">(sucrose) </w:t>
      </w:r>
      <w:r w:rsidR="00203DB4" w:rsidRPr="005E7AA7">
        <w:rPr>
          <w:rFonts w:ascii="Garamond" w:hAnsi="Garamond"/>
          <w:sz w:val="22"/>
          <w:szCs w:val="22"/>
          <w:lang w:val="en-US"/>
        </w:rPr>
        <w:t>and sugar-sweetened soft drinks. Honey consumption was l</w:t>
      </w:r>
      <w:r w:rsidR="00AF3A1E" w:rsidRPr="005E7AA7">
        <w:rPr>
          <w:rFonts w:ascii="Garamond" w:hAnsi="Garamond"/>
          <w:sz w:val="22"/>
          <w:szCs w:val="22"/>
          <w:lang w:val="en-US"/>
        </w:rPr>
        <w:t>ow to absent.</w:t>
      </w:r>
      <w:r w:rsidR="000A2CD6" w:rsidRPr="005E7AA7">
        <w:rPr>
          <w:rFonts w:ascii="Garamond" w:hAnsi="Garamond"/>
          <w:sz w:val="22"/>
          <w:szCs w:val="22"/>
          <w:lang w:val="en-US"/>
        </w:rPr>
        <w:t xml:space="preserve"> </w:t>
      </w:r>
    </w:p>
    <w:p w:rsidR="00AF3A1E" w:rsidRPr="005E7AA7" w:rsidRDefault="00D73656" w:rsidP="00531A6A">
      <w:pPr>
        <w:pStyle w:val="ListParagraph"/>
        <w:numPr>
          <w:ilvl w:val="0"/>
          <w:numId w:val="2"/>
        </w:numPr>
        <w:rPr>
          <w:rFonts w:ascii="Garamond" w:hAnsi="Garamond"/>
          <w:sz w:val="22"/>
          <w:szCs w:val="22"/>
          <w:lang w:val="en-US"/>
        </w:rPr>
      </w:pPr>
      <w:r w:rsidRPr="005E7AA7">
        <w:rPr>
          <w:rFonts w:ascii="Garamond" w:hAnsi="Garamond"/>
          <w:sz w:val="22"/>
          <w:szCs w:val="22"/>
          <w:lang w:val="en-US"/>
        </w:rPr>
        <w:t>Except</w:t>
      </w:r>
      <w:r w:rsidR="00806125" w:rsidRPr="005E7AA7">
        <w:rPr>
          <w:rFonts w:ascii="Garamond" w:hAnsi="Garamond"/>
          <w:sz w:val="22"/>
          <w:szCs w:val="22"/>
          <w:lang w:val="en-US"/>
        </w:rPr>
        <w:t xml:space="preserve"> for the consumption of banana</w:t>
      </w:r>
      <w:r w:rsidR="00AF3A1E" w:rsidRPr="005E7AA7">
        <w:rPr>
          <w:rFonts w:ascii="Garamond" w:hAnsi="Garamond"/>
          <w:sz w:val="22"/>
          <w:szCs w:val="22"/>
          <w:lang w:val="en-US"/>
        </w:rPr>
        <w:t>s</w:t>
      </w:r>
      <w:r w:rsidR="00806125" w:rsidRPr="005E7AA7">
        <w:rPr>
          <w:rFonts w:ascii="Garamond" w:hAnsi="Garamond"/>
          <w:sz w:val="22"/>
          <w:szCs w:val="22"/>
          <w:lang w:val="en-US"/>
        </w:rPr>
        <w:t xml:space="preserve"> and orange</w:t>
      </w:r>
      <w:r w:rsidR="00AF3A1E" w:rsidRPr="005E7AA7">
        <w:rPr>
          <w:rFonts w:ascii="Garamond" w:hAnsi="Garamond"/>
          <w:sz w:val="22"/>
          <w:szCs w:val="22"/>
          <w:lang w:val="en-US"/>
        </w:rPr>
        <w:t>s</w:t>
      </w:r>
      <w:r w:rsidR="00806125" w:rsidRPr="005E7AA7">
        <w:rPr>
          <w:rFonts w:ascii="Garamond" w:hAnsi="Garamond"/>
          <w:sz w:val="22"/>
          <w:szCs w:val="22"/>
          <w:lang w:val="en-US"/>
        </w:rPr>
        <w:t xml:space="preserve"> </w:t>
      </w:r>
      <w:r w:rsidR="00AF3A1E" w:rsidRPr="005E7AA7">
        <w:rPr>
          <w:rFonts w:ascii="Garamond" w:hAnsi="Garamond"/>
          <w:sz w:val="22"/>
          <w:szCs w:val="22"/>
          <w:lang w:val="en-US"/>
        </w:rPr>
        <w:t>by</w:t>
      </w:r>
      <w:r w:rsidR="00806125" w:rsidRPr="005E7AA7">
        <w:rPr>
          <w:rFonts w:ascii="Garamond" w:hAnsi="Garamond"/>
          <w:sz w:val="22"/>
          <w:szCs w:val="22"/>
          <w:lang w:val="en-US"/>
        </w:rPr>
        <w:t xml:space="preserve"> children, both mothers and children reported very low frequencies of consumption of fruits. The lowest frequencies of consumption were for non-local fruits (apple, pear, grapes and strawberry) which are more expensive than local fruits (banana, watermelon, papaya and orange).</w:t>
      </w:r>
      <w:r w:rsidR="00205D98" w:rsidRPr="005E7AA7">
        <w:rPr>
          <w:rFonts w:ascii="Garamond" w:hAnsi="Garamond"/>
          <w:sz w:val="22"/>
          <w:szCs w:val="22"/>
          <w:lang w:val="en-US"/>
        </w:rPr>
        <w:t xml:space="preserve"> </w:t>
      </w:r>
    </w:p>
    <w:p w:rsidR="00DA6340" w:rsidRPr="005E7AA7" w:rsidRDefault="00D73656" w:rsidP="00DA6340">
      <w:pPr>
        <w:pStyle w:val="ListParagraph"/>
        <w:numPr>
          <w:ilvl w:val="0"/>
          <w:numId w:val="2"/>
        </w:numPr>
        <w:rPr>
          <w:rFonts w:ascii="Garamond" w:hAnsi="Garamond"/>
          <w:sz w:val="22"/>
          <w:szCs w:val="22"/>
          <w:lang w:val="en-US"/>
        </w:rPr>
      </w:pPr>
      <w:r w:rsidRPr="005E7AA7">
        <w:rPr>
          <w:rFonts w:ascii="Garamond" w:hAnsi="Garamond"/>
          <w:sz w:val="22"/>
          <w:szCs w:val="22"/>
          <w:lang w:val="en-US"/>
        </w:rPr>
        <w:lastRenderedPageBreak/>
        <w:t>Vegetable</w:t>
      </w:r>
      <w:r w:rsidR="00205D98" w:rsidRPr="005E7AA7">
        <w:rPr>
          <w:rFonts w:ascii="Garamond" w:hAnsi="Garamond"/>
          <w:sz w:val="22"/>
          <w:szCs w:val="22"/>
          <w:lang w:val="en-US"/>
        </w:rPr>
        <w:t xml:space="preserve"> consumption tended to be low to absent. The exceptions were for cucumbers, tomato, and onion which had a medium consumption by both mothers and children. Even so, these vegetables of tend to be used in relatively low quantities</w:t>
      </w:r>
      <w:r w:rsidRPr="005E7AA7">
        <w:rPr>
          <w:rFonts w:ascii="Garamond" w:hAnsi="Garamond"/>
          <w:sz w:val="22"/>
          <w:szCs w:val="22"/>
          <w:lang w:val="en-US"/>
        </w:rPr>
        <w:t>, mostly to add flavor to other foods,</w:t>
      </w:r>
      <w:r w:rsidR="00205D98" w:rsidRPr="005E7AA7">
        <w:rPr>
          <w:rFonts w:ascii="Garamond" w:hAnsi="Garamond"/>
          <w:sz w:val="22"/>
          <w:szCs w:val="22"/>
          <w:lang w:val="en-US"/>
        </w:rPr>
        <w:t xml:space="preserve"> in the culinary culture of Yucatan.</w:t>
      </w:r>
    </w:p>
    <w:p w:rsidR="000A2CD6" w:rsidRPr="005E7AA7" w:rsidRDefault="00F869F3" w:rsidP="005E7AA7">
      <w:pPr>
        <w:rPr>
          <w:rFonts w:ascii="Garamond" w:hAnsi="Garamond"/>
          <w:sz w:val="22"/>
          <w:szCs w:val="22"/>
          <w:lang w:val="en-US"/>
        </w:rPr>
      </w:pPr>
      <w:r w:rsidRPr="005E7AA7">
        <w:rPr>
          <w:rFonts w:ascii="Garamond" w:hAnsi="Garamond"/>
          <w:sz w:val="22"/>
          <w:szCs w:val="22"/>
          <w:lang w:val="en-US"/>
        </w:rPr>
        <w:t>W</w:t>
      </w:r>
      <w:r w:rsidR="000A2CD6" w:rsidRPr="005E7AA7">
        <w:rPr>
          <w:rFonts w:ascii="Garamond" w:hAnsi="Garamond"/>
          <w:sz w:val="22"/>
          <w:szCs w:val="22"/>
          <w:lang w:val="en-US"/>
        </w:rPr>
        <w:t xml:space="preserve">e analyzed the consumption of soft drinks and </w:t>
      </w:r>
      <w:r w:rsidR="0018059B" w:rsidRPr="005E7AA7">
        <w:rPr>
          <w:rFonts w:ascii="Garamond" w:hAnsi="Garamond"/>
          <w:sz w:val="22"/>
          <w:szCs w:val="22"/>
          <w:lang w:val="en-US"/>
        </w:rPr>
        <w:t>packaged ‘junk</w:t>
      </w:r>
      <w:r w:rsidR="000A2CD6" w:rsidRPr="005E7AA7">
        <w:rPr>
          <w:rFonts w:ascii="Garamond" w:hAnsi="Garamond"/>
          <w:sz w:val="22"/>
          <w:szCs w:val="22"/>
          <w:lang w:val="en-US"/>
        </w:rPr>
        <w:t xml:space="preserve"> foods</w:t>
      </w:r>
      <w:r w:rsidR="0018059B" w:rsidRPr="005E7AA7">
        <w:rPr>
          <w:rFonts w:ascii="Garamond" w:hAnsi="Garamond"/>
          <w:sz w:val="22"/>
          <w:szCs w:val="22"/>
          <w:lang w:val="en-US"/>
        </w:rPr>
        <w:t>’</w:t>
      </w:r>
      <w:r w:rsidR="000A2CD6" w:rsidRPr="005E7AA7">
        <w:rPr>
          <w:rFonts w:ascii="Garamond" w:hAnsi="Garamond"/>
          <w:sz w:val="22"/>
          <w:szCs w:val="22"/>
          <w:lang w:val="en-US"/>
        </w:rPr>
        <w:t xml:space="preserve"> (</w:t>
      </w:r>
      <w:proofErr w:type="spellStart"/>
      <w:r w:rsidR="000A2CD6" w:rsidRPr="005E7AA7">
        <w:rPr>
          <w:rFonts w:ascii="Garamond" w:hAnsi="Garamond"/>
          <w:bCs/>
          <w:i/>
          <w:iCs/>
          <w:sz w:val="22"/>
          <w:szCs w:val="22"/>
          <w:lang w:val="en-US"/>
        </w:rPr>
        <w:t>comidas</w:t>
      </w:r>
      <w:proofErr w:type="spellEnd"/>
      <w:r w:rsidR="000A2CD6" w:rsidRPr="005E7AA7">
        <w:rPr>
          <w:rFonts w:ascii="Garamond" w:hAnsi="Garamond"/>
          <w:bCs/>
          <w:i/>
          <w:iCs/>
          <w:sz w:val="22"/>
          <w:szCs w:val="22"/>
          <w:lang w:val="en-US"/>
        </w:rPr>
        <w:t xml:space="preserve"> </w:t>
      </w:r>
      <w:proofErr w:type="spellStart"/>
      <w:r w:rsidR="000A2CD6" w:rsidRPr="005E7AA7">
        <w:rPr>
          <w:rFonts w:ascii="Garamond" w:hAnsi="Garamond"/>
          <w:bCs/>
          <w:i/>
          <w:iCs/>
          <w:sz w:val="22"/>
          <w:szCs w:val="22"/>
          <w:lang w:val="en-US"/>
        </w:rPr>
        <w:t>chatarras</w:t>
      </w:r>
      <w:proofErr w:type="spellEnd"/>
      <w:r w:rsidR="000A2CD6" w:rsidRPr="005E7AA7">
        <w:rPr>
          <w:rFonts w:ascii="Garamond" w:hAnsi="Garamond"/>
          <w:sz w:val="22"/>
          <w:szCs w:val="22"/>
          <w:lang w:val="en-US"/>
        </w:rPr>
        <w:t xml:space="preserve">) in greater detail.  The frequencies of soft drink consumption are shown in Table </w:t>
      </w:r>
      <w:r w:rsidRPr="005E7AA7">
        <w:rPr>
          <w:rFonts w:ascii="Garamond" w:hAnsi="Garamond"/>
          <w:sz w:val="22"/>
          <w:szCs w:val="22"/>
          <w:lang w:val="en-US"/>
        </w:rPr>
        <w:t>1</w:t>
      </w:r>
      <w:r w:rsidR="0018059B" w:rsidRPr="005E7AA7">
        <w:rPr>
          <w:rFonts w:ascii="Garamond" w:hAnsi="Garamond"/>
          <w:sz w:val="22"/>
          <w:szCs w:val="22"/>
          <w:lang w:val="en-US"/>
        </w:rPr>
        <w:t>. Mothers have, in general a medium to high intake, with these two categories accounting for 70.7% of frequency. The children have a more variable intake, but 53.5% have a medium to high consumption of sugar-sweetened soft drinks. The children’s data are based on the mothers’ reports and do not include soft-drinks consumed out of the home and out of sight of the mother.</w:t>
      </w:r>
    </w:p>
    <w:p w:rsidR="00F869F3" w:rsidRPr="005E7AA7" w:rsidRDefault="00F869F3" w:rsidP="00F869F3">
      <w:pPr>
        <w:spacing w:after="0"/>
        <w:rPr>
          <w:rFonts w:ascii="Garamond" w:hAnsi="Garamond"/>
          <w:b/>
          <w:sz w:val="22"/>
          <w:szCs w:val="22"/>
        </w:rPr>
      </w:pPr>
      <w:proofErr w:type="gramStart"/>
      <w:r w:rsidRPr="005E7AA7">
        <w:rPr>
          <w:rFonts w:ascii="Garamond" w:hAnsi="Garamond"/>
          <w:b/>
          <w:sz w:val="22"/>
          <w:szCs w:val="22"/>
        </w:rPr>
        <w:t>Table 1.</w:t>
      </w:r>
      <w:proofErr w:type="gramEnd"/>
      <w:r w:rsidRPr="005E7AA7">
        <w:rPr>
          <w:rFonts w:ascii="Garamond" w:hAnsi="Garamond"/>
          <w:b/>
          <w:sz w:val="22"/>
          <w:szCs w:val="22"/>
        </w:rPr>
        <w:t xml:space="preserve"> Consumption of soft drinks by mothers (n=58) and children (n=58)</w:t>
      </w:r>
    </w:p>
    <w:p w:rsidR="00F869F3" w:rsidRPr="005E7AA7" w:rsidRDefault="00F869F3" w:rsidP="00F869F3">
      <w:pPr>
        <w:spacing w:after="0"/>
        <w:rPr>
          <w:rFonts w:ascii="Garamond" w:hAnsi="Garamond"/>
          <w:b/>
          <w:sz w:val="22"/>
          <w:szCs w:val="22"/>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Look w:val="04A0" w:firstRow="1" w:lastRow="0" w:firstColumn="1" w:lastColumn="0" w:noHBand="0" w:noVBand="1"/>
      </w:tblPr>
      <w:tblGrid>
        <w:gridCol w:w="3085"/>
        <w:gridCol w:w="1462"/>
        <w:gridCol w:w="1136"/>
        <w:gridCol w:w="1299"/>
        <w:gridCol w:w="1207"/>
      </w:tblGrid>
      <w:tr w:rsidR="00F869F3" w:rsidRPr="005E7AA7" w:rsidTr="0033464C">
        <w:trPr>
          <w:trHeight w:val="278"/>
        </w:trPr>
        <w:tc>
          <w:tcPr>
            <w:tcW w:w="3085" w:type="dxa"/>
            <w:vMerge w:val="restart"/>
            <w:tcBorders>
              <w:top w:val="single" w:sz="12" w:space="0" w:color="auto"/>
              <w:left w:val="nil"/>
              <w:bottom w:val="single" w:sz="4" w:space="0" w:color="auto"/>
              <w:right w:val="nil"/>
            </w:tcBorders>
          </w:tcPr>
          <w:p w:rsidR="00F869F3" w:rsidRPr="005E7AA7" w:rsidRDefault="00F869F3" w:rsidP="0033464C">
            <w:pPr>
              <w:rPr>
                <w:rFonts w:ascii="Garamond" w:hAnsi="Garamond"/>
                <w:b/>
                <w:sz w:val="22"/>
                <w:szCs w:val="22"/>
              </w:rPr>
            </w:pPr>
            <w:r w:rsidRPr="005E7AA7">
              <w:rPr>
                <w:rFonts w:ascii="Garamond" w:hAnsi="Garamond"/>
                <w:b/>
                <w:sz w:val="22"/>
                <w:szCs w:val="22"/>
              </w:rPr>
              <w:t>Consumption</w:t>
            </w:r>
          </w:p>
        </w:tc>
        <w:tc>
          <w:tcPr>
            <w:tcW w:w="2598" w:type="dxa"/>
            <w:gridSpan w:val="2"/>
            <w:tcBorders>
              <w:top w:val="single" w:sz="12" w:space="0" w:color="auto"/>
              <w:left w:val="nil"/>
              <w:bottom w:val="single" w:sz="4" w:space="0" w:color="auto"/>
              <w:right w:val="nil"/>
            </w:tcBorders>
          </w:tcPr>
          <w:p w:rsidR="00F869F3" w:rsidRPr="005E7AA7" w:rsidRDefault="00F869F3" w:rsidP="0033464C">
            <w:pPr>
              <w:jc w:val="center"/>
              <w:rPr>
                <w:rFonts w:ascii="Garamond" w:hAnsi="Garamond"/>
                <w:b/>
                <w:sz w:val="22"/>
                <w:szCs w:val="22"/>
              </w:rPr>
            </w:pPr>
            <w:r w:rsidRPr="005E7AA7">
              <w:rPr>
                <w:rFonts w:ascii="Garamond" w:hAnsi="Garamond"/>
                <w:b/>
                <w:sz w:val="22"/>
                <w:szCs w:val="22"/>
              </w:rPr>
              <w:t>Mothers</w:t>
            </w:r>
          </w:p>
        </w:tc>
        <w:tc>
          <w:tcPr>
            <w:tcW w:w="2506" w:type="dxa"/>
            <w:gridSpan w:val="2"/>
            <w:tcBorders>
              <w:top w:val="single" w:sz="12" w:space="0" w:color="auto"/>
              <w:left w:val="nil"/>
              <w:bottom w:val="single" w:sz="4" w:space="0" w:color="auto"/>
              <w:right w:val="nil"/>
            </w:tcBorders>
          </w:tcPr>
          <w:p w:rsidR="00F869F3" w:rsidRPr="005E7AA7" w:rsidRDefault="00F869F3" w:rsidP="0033464C">
            <w:pPr>
              <w:jc w:val="center"/>
              <w:rPr>
                <w:rFonts w:ascii="Garamond" w:hAnsi="Garamond"/>
                <w:b/>
                <w:sz w:val="22"/>
                <w:szCs w:val="22"/>
              </w:rPr>
            </w:pPr>
            <w:r w:rsidRPr="005E7AA7">
              <w:rPr>
                <w:rFonts w:ascii="Garamond" w:hAnsi="Garamond"/>
                <w:b/>
                <w:sz w:val="22"/>
                <w:szCs w:val="22"/>
              </w:rPr>
              <w:t>Children</w:t>
            </w:r>
          </w:p>
        </w:tc>
      </w:tr>
      <w:tr w:rsidR="00F869F3" w:rsidRPr="005E7AA7" w:rsidTr="0033464C">
        <w:trPr>
          <w:trHeight w:val="146"/>
        </w:trPr>
        <w:tc>
          <w:tcPr>
            <w:tcW w:w="3085" w:type="dxa"/>
            <w:vMerge/>
            <w:tcBorders>
              <w:top w:val="single" w:sz="4" w:space="0" w:color="auto"/>
              <w:left w:val="nil"/>
              <w:bottom w:val="single" w:sz="12" w:space="0" w:color="auto"/>
              <w:right w:val="nil"/>
            </w:tcBorders>
          </w:tcPr>
          <w:p w:rsidR="00F869F3" w:rsidRPr="005E7AA7" w:rsidRDefault="00F869F3" w:rsidP="0033464C">
            <w:pPr>
              <w:rPr>
                <w:rFonts w:ascii="Garamond" w:hAnsi="Garamond"/>
                <w:b/>
                <w:sz w:val="22"/>
                <w:szCs w:val="22"/>
              </w:rPr>
            </w:pPr>
          </w:p>
        </w:tc>
        <w:tc>
          <w:tcPr>
            <w:tcW w:w="1462" w:type="dxa"/>
            <w:tcBorders>
              <w:top w:val="single" w:sz="4" w:space="0" w:color="auto"/>
              <w:left w:val="nil"/>
              <w:bottom w:val="single" w:sz="12" w:space="0" w:color="auto"/>
              <w:right w:val="nil"/>
            </w:tcBorders>
          </w:tcPr>
          <w:p w:rsidR="00F869F3" w:rsidRPr="005E7AA7" w:rsidRDefault="00F869F3" w:rsidP="0033464C">
            <w:pPr>
              <w:jc w:val="center"/>
              <w:rPr>
                <w:rFonts w:ascii="Garamond" w:hAnsi="Garamond"/>
                <w:b/>
                <w:sz w:val="22"/>
                <w:szCs w:val="22"/>
              </w:rPr>
            </w:pPr>
            <w:r w:rsidRPr="005E7AA7">
              <w:rPr>
                <w:rFonts w:ascii="Garamond" w:hAnsi="Garamond"/>
                <w:b/>
                <w:sz w:val="22"/>
                <w:szCs w:val="22"/>
              </w:rPr>
              <w:t>F</w:t>
            </w:r>
          </w:p>
        </w:tc>
        <w:tc>
          <w:tcPr>
            <w:tcW w:w="1136" w:type="dxa"/>
            <w:tcBorders>
              <w:top w:val="single" w:sz="4" w:space="0" w:color="auto"/>
              <w:left w:val="nil"/>
              <w:bottom w:val="single" w:sz="12" w:space="0" w:color="auto"/>
              <w:right w:val="nil"/>
            </w:tcBorders>
          </w:tcPr>
          <w:p w:rsidR="00F869F3" w:rsidRPr="005E7AA7" w:rsidRDefault="00F869F3" w:rsidP="0033464C">
            <w:pPr>
              <w:jc w:val="center"/>
              <w:rPr>
                <w:rFonts w:ascii="Garamond" w:hAnsi="Garamond"/>
                <w:b/>
                <w:sz w:val="22"/>
                <w:szCs w:val="22"/>
              </w:rPr>
            </w:pPr>
            <w:r w:rsidRPr="005E7AA7">
              <w:rPr>
                <w:rFonts w:ascii="Garamond" w:hAnsi="Garamond"/>
                <w:b/>
                <w:sz w:val="22"/>
                <w:szCs w:val="22"/>
              </w:rPr>
              <w:t>%</w:t>
            </w:r>
          </w:p>
        </w:tc>
        <w:tc>
          <w:tcPr>
            <w:tcW w:w="1299" w:type="dxa"/>
            <w:tcBorders>
              <w:top w:val="single" w:sz="4" w:space="0" w:color="auto"/>
              <w:left w:val="nil"/>
              <w:bottom w:val="single" w:sz="12" w:space="0" w:color="auto"/>
              <w:right w:val="nil"/>
            </w:tcBorders>
          </w:tcPr>
          <w:p w:rsidR="00F869F3" w:rsidRPr="005E7AA7" w:rsidRDefault="00F869F3" w:rsidP="0033464C">
            <w:pPr>
              <w:jc w:val="center"/>
              <w:rPr>
                <w:rFonts w:ascii="Garamond" w:hAnsi="Garamond"/>
                <w:b/>
                <w:sz w:val="22"/>
                <w:szCs w:val="22"/>
              </w:rPr>
            </w:pPr>
            <w:r w:rsidRPr="005E7AA7">
              <w:rPr>
                <w:rFonts w:ascii="Garamond" w:hAnsi="Garamond"/>
                <w:b/>
                <w:sz w:val="22"/>
                <w:szCs w:val="22"/>
              </w:rPr>
              <w:t>F</w:t>
            </w:r>
          </w:p>
        </w:tc>
        <w:tc>
          <w:tcPr>
            <w:tcW w:w="1207" w:type="dxa"/>
            <w:tcBorders>
              <w:top w:val="single" w:sz="4" w:space="0" w:color="auto"/>
              <w:left w:val="nil"/>
              <w:bottom w:val="single" w:sz="12" w:space="0" w:color="auto"/>
              <w:right w:val="nil"/>
            </w:tcBorders>
          </w:tcPr>
          <w:p w:rsidR="00F869F3" w:rsidRPr="005E7AA7" w:rsidRDefault="00F869F3" w:rsidP="0033464C">
            <w:pPr>
              <w:jc w:val="center"/>
              <w:rPr>
                <w:rFonts w:ascii="Garamond" w:hAnsi="Garamond"/>
                <w:b/>
                <w:sz w:val="22"/>
                <w:szCs w:val="22"/>
              </w:rPr>
            </w:pPr>
            <w:r w:rsidRPr="005E7AA7">
              <w:rPr>
                <w:rFonts w:ascii="Garamond" w:hAnsi="Garamond"/>
                <w:b/>
                <w:sz w:val="22"/>
                <w:szCs w:val="22"/>
              </w:rPr>
              <w:t>%</w:t>
            </w:r>
          </w:p>
        </w:tc>
      </w:tr>
      <w:tr w:rsidR="00F869F3" w:rsidRPr="005E7AA7" w:rsidTr="0033464C">
        <w:trPr>
          <w:trHeight w:val="278"/>
        </w:trPr>
        <w:tc>
          <w:tcPr>
            <w:tcW w:w="3085" w:type="dxa"/>
            <w:tcBorders>
              <w:top w:val="single" w:sz="12" w:space="0" w:color="auto"/>
              <w:left w:val="nil"/>
              <w:bottom w:val="nil"/>
              <w:right w:val="nil"/>
            </w:tcBorders>
          </w:tcPr>
          <w:p w:rsidR="00F869F3" w:rsidRPr="005E7AA7" w:rsidRDefault="00F869F3" w:rsidP="0033464C">
            <w:pPr>
              <w:rPr>
                <w:rFonts w:ascii="Garamond" w:hAnsi="Garamond"/>
                <w:sz w:val="22"/>
                <w:szCs w:val="22"/>
              </w:rPr>
            </w:pPr>
            <w:r w:rsidRPr="005E7AA7">
              <w:rPr>
                <w:rFonts w:ascii="Garamond" w:hAnsi="Garamond"/>
                <w:sz w:val="22"/>
                <w:szCs w:val="22"/>
              </w:rPr>
              <w:t>No consumption</w:t>
            </w:r>
          </w:p>
        </w:tc>
        <w:tc>
          <w:tcPr>
            <w:tcW w:w="1462" w:type="dxa"/>
            <w:tcBorders>
              <w:top w:val="single" w:sz="12" w:space="0" w:color="auto"/>
              <w:left w:val="nil"/>
              <w:bottom w:val="nil"/>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2</w:t>
            </w:r>
          </w:p>
        </w:tc>
        <w:tc>
          <w:tcPr>
            <w:tcW w:w="1136" w:type="dxa"/>
            <w:tcBorders>
              <w:top w:val="single" w:sz="12" w:space="0" w:color="auto"/>
              <w:left w:val="nil"/>
              <w:bottom w:val="nil"/>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3.4</w:t>
            </w:r>
          </w:p>
        </w:tc>
        <w:tc>
          <w:tcPr>
            <w:tcW w:w="1299" w:type="dxa"/>
            <w:tcBorders>
              <w:top w:val="single" w:sz="12" w:space="0" w:color="auto"/>
              <w:left w:val="nil"/>
              <w:bottom w:val="nil"/>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5</w:t>
            </w:r>
          </w:p>
        </w:tc>
        <w:tc>
          <w:tcPr>
            <w:tcW w:w="1207" w:type="dxa"/>
            <w:tcBorders>
              <w:top w:val="single" w:sz="12" w:space="0" w:color="auto"/>
              <w:left w:val="nil"/>
              <w:bottom w:val="nil"/>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8.6</w:t>
            </w:r>
          </w:p>
        </w:tc>
      </w:tr>
      <w:tr w:rsidR="00F869F3" w:rsidRPr="005E7AA7" w:rsidTr="0033464C">
        <w:trPr>
          <w:trHeight w:val="278"/>
        </w:trPr>
        <w:tc>
          <w:tcPr>
            <w:tcW w:w="3085" w:type="dxa"/>
            <w:tcBorders>
              <w:top w:val="nil"/>
              <w:left w:val="nil"/>
              <w:bottom w:val="nil"/>
              <w:right w:val="nil"/>
            </w:tcBorders>
          </w:tcPr>
          <w:p w:rsidR="00F869F3" w:rsidRPr="005E7AA7" w:rsidRDefault="00F869F3" w:rsidP="0033464C">
            <w:pPr>
              <w:rPr>
                <w:rFonts w:ascii="Garamond" w:hAnsi="Garamond"/>
                <w:sz w:val="22"/>
                <w:szCs w:val="22"/>
              </w:rPr>
            </w:pPr>
            <w:r w:rsidRPr="005E7AA7">
              <w:rPr>
                <w:rFonts w:ascii="Garamond" w:hAnsi="Garamond"/>
                <w:sz w:val="22"/>
                <w:szCs w:val="22"/>
              </w:rPr>
              <w:t>Low</w:t>
            </w:r>
          </w:p>
        </w:tc>
        <w:tc>
          <w:tcPr>
            <w:tcW w:w="1462" w:type="dxa"/>
            <w:tcBorders>
              <w:top w:val="nil"/>
              <w:left w:val="nil"/>
              <w:bottom w:val="nil"/>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15</w:t>
            </w:r>
          </w:p>
        </w:tc>
        <w:tc>
          <w:tcPr>
            <w:tcW w:w="1136" w:type="dxa"/>
            <w:tcBorders>
              <w:top w:val="nil"/>
              <w:left w:val="nil"/>
              <w:bottom w:val="nil"/>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25.9</w:t>
            </w:r>
          </w:p>
        </w:tc>
        <w:tc>
          <w:tcPr>
            <w:tcW w:w="1299" w:type="dxa"/>
            <w:tcBorders>
              <w:top w:val="nil"/>
              <w:left w:val="nil"/>
              <w:bottom w:val="nil"/>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22</w:t>
            </w:r>
          </w:p>
        </w:tc>
        <w:tc>
          <w:tcPr>
            <w:tcW w:w="1207" w:type="dxa"/>
            <w:tcBorders>
              <w:top w:val="nil"/>
              <w:left w:val="nil"/>
              <w:bottom w:val="nil"/>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37.9</w:t>
            </w:r>
          </w:p>
        </w:tc>
      </w:tr>
      <w:tr w:rsidR="00F869F3" w:rsidRPr="005E7AA7" w:rsidTr="0033464C">
        <w:trPr>
          <w:trHeight w:val="278"/>
        </w:trPr>
        <w:tc>
          <w:tcPr>
            <w:tcW w:w="3085" w:type="dxa"/>
            <w:tcBorders>
              <w:top w:val="nil"/>
              <w:left w:val="nil"/>
              <w:bottom w:val="nil"/>
              <w:right w:val="nil"/>
            </w:tcBorders>
          </w:tcPr>
          <w:p w:rsidR="00F869F3" w:rsidRPr="005E7AA7" w:rsidRDefault="00F869F3" w:rsidP="0033464C">
            <w:pPr>
              <w:rPr>
                <w:rFonts w:ascii="Garamond" w:hAnsi="Garamond"/>
                <w:sz w:val="22"/>
                <w:szCs w:val="22"/>
              </w:rPr>
            </w:pPr>
            <w:r w:rsidRPr="005E7AA7">
              <w:rPr>
                <w:rFonts w:ascii="Garamond" w:hAnsi="Garamond"/>
                <w:sz w:val="22"/>
                <w:szCs w:val="22"/>
              </w:rPr>
              <w:t>Medium</w:t>
            </w:r>
          </w:p>
        </w:tc>
        <w:tc>
          <w:tcPr>
            <w:tcW w:w="1462" w:type="dxa"/>
            <w:tcBorders>
              <w:top w:val="nil"/>
              <w:left w:val="nil"/>
              <w:bottom w:val="nil"/>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16</w:t>
            </w:r>
          </w:p>
        </w:tc>
        <w:tc>
          <w:tcPr>
            <w:tcW w:w="1136" w:type="dxa"/>
            <w:tcBorders>
              <w:top w:val="nil"/>
              <w:left w:val="nil"/>
              <w:bottom w:val="nil"/>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27.6</w:t>
            </w:r>
          </w:p>
        </w:tc>
        <w:tc>
          <w:tcPr>
            <w:tcW w:w="1299" w:type="dxa"/>
            <w:tcBorders>
              <w:top w:val="nil"/>
              <w:left w:val="nil"/>
              <w:bottom w:val="nil"/>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8</w:t>
            </w:r>
          </w:p>
        </w:tc>
        <w:tc>
          <w:tcPr>
            <w:tcW w:w="1207" w:type="dxa"/>
            <w:tcBorders>
              <w:top w:val="nil"/>
              <w:left w:val="nil"/>
              <w:bottom w:val="nil"/>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13.8</w:t>
            </w:r>
          </w:p>
        </w:tc>
      </w:tr>
      <w:tr w:rsidR="00F869F3" w:rsidRPr="005E7AA7" w:rsidTr="0033464C">
        <w:trPr>
          <w:trHeight w:val="292"/>
        </w:trPr>
        <w:tc>
          <w:tcPr>
            <w:tcW w:w="3085" w:type="dxa"/>
            <w:tcBorders>
              <w:top w:val="nil"/>
              <w:left w:val="nil"/>
              <w:bottom w:val="single" w:sz="12" w:space="0" w:color="000000" w:themeColor="text1"/>
              <w:right w:val="nil"/>
            </w:tcBorders>
          </w:tcPr>
          <w:p w:rsidR="00F869F3" w:rsidRPr="005E7AA7" w:rsidRDefault="00F869F3" w:rsidP="0033464C">
            <w:pPr>
              <w:rPr>
                <w:rFonts w:ascii="Garamond" w:hAnsi="Garamond"/>
                <w:sz w:val="22"/>
                <w:szCs w:val="22"/>
              </w:rPr>
            </w:pPr>
            <w:r w:rsidRPr="005E7AA7">
              <w:rPr>
                <w:rFonts w:ascii="Garamond" w:hAnsi="Garamond"/>
                <w:sz w:val="22"/>
                <w:szCs w:val="22"/>
              </w:rPr>
              <w:t xml:space="preserve">High </w:t>
            </w:r>
          </w:p>
        </w:tc>
        <w:tc>
          <w:tcPr>
            <w:tcW w:w="1462" w:type="dxa"/>
            <w:tcBorders>
              <w:top w:val="nil"/>
              <w:left w:val="nil"/>
              <w:bottom w:val="single" w:sz="12" w:space="0" w:color="000000" w:themeColor="text1"/>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25</w:t>
            </w:r>
          </w:p>
        </w:tc>
        <w:tc>
          <w:tcPr>
            <w:tcW w:w="1136" w:type="dxa"/>
            <w:tcBorders>
              <w:top w:val="nil"/>
              <w:left w:val="nil"/>
              <w:bottom w:val="single" w:sz="12" w:space="0" w:color="000000" w:themeColor="text1"/>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43.1</w:t>
            </w:r>
          </w:p>
        </w:tc>
        <w:tc>
          <w:tcPr>
            <w:tcW w:w="1299" w:type="dxa"/>
            <w:tcBorders>
              <w:top w:val="nil"/>
              <w:left w:val="nil"/>
              <w:bottom w:val="single" w:sz="12" w:space="0" w:color="000000" w:themeColor="text1"/>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23</w:t>
            </w:r>
          </w:p>
        </w:tc>
        <w:tc>
          <w:tcPr>
            <w:tcW w:w="1207" w:type="dxa"/>
            <w:tcBorders>
              <w:top w:val="nil"/>
              <w:left w:val="nil"/>
              <w:bottom w:val="single" w:sz="12" w:space="0" w:color="000000" w:themeColor="text1"/>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39.7</w:t>
            </w:r>
          </w:p>
        </w:tc>
      </w:tr>
      <w:tr w:rsidR="00F869F3" w:rsidRPr="005E7AA7" w:rsidTr="0033464C">
        <w:trPr>
          <w:trHeight w:val="278"/>
        </w:trPr>
        <w:tc>
          <w:tcPr>
            <w:tcW w:w="3085" w:type="dxa"/>
            <w:tcBorders>
              <w:top w:val="single" w:sz="12" w:space="0" w:color="000000" w:themeColor="text1"/>
              <w:left w:val="nil"/>
              <w:bottom w:val="single" w:sz="12" w:space="0" w:color="000000" w:themeColor="text1"/>
              <w:right w:val="nil"/>
            </w:tcBorders>
          </w:tcPr>
          <w:p w:rsidR="00F869F3" w:rsidRPr="005E7AA7" w:rsidRDefault="00F869F3" w:rsidP="0033464C">
            <w:pPr>
              <w:rPr>
                <w:rFonts w:ascii="Garamond" w:hAnsi="Garamond"/>
                <w:sz w:val="22"/>
                <w:szCs w:val="22"/>
              </w:rPr>
            </w:pPr>
            <w:r w:rsidRPr="005E7AA7">
              <w:rPr>
                <w:rFonts w:ascii="Garamond" w:hAnsi="Garamond"/>
                <w:sz w:val="22"/>
                <w:szCs w:val="22"/>
              </w:rPr>
              <w:t>Total</w:t>
            </w:r>
          </w:p>
        </w:tc>
        <w:tc>
          <w:tcPr>
            <w:tcW w:w="1462" w:type="dxa"/>
            <w:tcBorders>
              <w:top w:val="single" w:sz="12" w:space="0" w:color="000000" w:themeColor="text1"/>
              <w:left w:val="nil"/>
              <w:bottom w:val="single" w:sz="12" w:space="0" w:color="000000" w:themeColor="text1"/>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58</w:t>
            </w:r>
          </w:p>
        </w:tc>
        <w:tc>
          <w:tcPr>
            <w:tcW w:w="1136" w:type="dxa"/>
            <w:tcBorders>
              <w:top w:val="single" w:sz="12" w:space="0" w:color="000000" w:themeColor="text1"/>
              <w:left w:val="nil"/>
              <w:bottom w:val="single" w:sz="12" w:space="0" w:color="000000" w:themeColor="text1"/>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100</w:t>
            </w:r>
          </w:p>
        </w:tc>
        <w:tc>
          <w:tcPr>
            <w:tcW w:w="1299" w:type="dxa"/>
            <w:tcBorders>
              <w:top w:val="single" w:sz="12" w:space="0" w:color="000000" w:themeColor="text1"/>
              <w:left w:val="nil"/>
              <w:bottom w:val="single" w:sz="12" w:space="0" w:color="000000" w:themeColor="text1"/>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58</w:t>
            </w:r>
          </w:p>
        </w:tc>
        <w:tc>
          <w:tcPr>
            <w:tcW w:w="1207" w:type="dxa"/>
            <w:tcBorders>
              <w:top w:val="single" w:sz="12" w:space="0" w:color="000000" w:themeColor="text1"/>
              <w:left w:val="nil"/>
              <w:bottom w:val="single" w:sz="12" w:space="0" w:color="000000" w:themeColor="text1"/>
              <w:right w:val="nil"/>
            </w:tcBorders>
          </w:tcPr>
          <w:p w:rsidR="00F869F3" w:rsidRPr="005E7AA7" w:rsidRDefault="00F869F3" w:rsidP="0033464C">
            <w:pPr>
              <w:jc w:val="center"/>
              <w:rPr>
                <w:rFonts w:ascii="Garamond" w:hAnsi="Garamond"/>
                <w:sz w:val="22"/>
                <w:szCs w:val="22"/>
              </w:rPr>
            </w:pPr>
            <w:r w:rsidRPr="005E7AA7">
              <w:rPr>
                <w:rFonts w:ascii="Garamond" w:hAnsi="Garamond"/>
                <w:sz w:val="22"/>
                <w:szCs w:val="22"/>
              </w:rPr>
              <w:t>100</w:t>
            </w:r>
          </w:p>
        </w:tc>
      </w:tr>
    </w:tbl>
    <w:p w:rsidR="00F869F3" w:rsidRPr="005E7AA7" w:rsidRDefault="00F869F3" w:rsidP="00C54391">
      <w:pPr>
        <w:spacing w:before="120" w:after="0"/>
        <w:rPr>
          <w:rFonts w:ascii="Garamond" w:hAnsi="Garamond"/>
          <w:sz w:val="22"/>
          <w:szCs w:val="22"/>
        </w:rPr>
      </w:pPr>
      <w:r w:rsidRPr="005E7AA7">
        <w:rPr>
          <w:rFonts w:ascii="Garamond" w:hAnsi="Garamond"/>
          <w:sz w:val="22"/>
          <w:szCs w:val="22"/>
        </w:rPr>
        <w:t>F = frequency Low: 1-2 days per week; medium: 3-4 days per week; high: 5-7 days per week</w:t>
      </w:r>
    </w:p>
    <w:p w:rsidR="005E7AA7" w:rsidRDefault="005E7AA7" w:rsidP="005E7AA7">
      <w:pPr>
        <w:spacing w:after="0"/>
        <w:rPr>
          <w:rFonts w:ascii="Garamond" w:hAnsi="Garamond"/>
          <w:sz w:val="22"/>
          <w:szCs w:val="22"/>
        </w:rPr>
      </w:pPr>
    </w:p>
    <w:p w:rsidR="0018059B" w:rsidRPr="005E7AA7" w:rsidRDefault="0018059B" w:rsidP="005E7AA7">
      <w:pPr>
        <w:spacing w:after="0"/>
        <w:rPr>
          <w:rFonts w:ascii="Garamond" w:hAnsi="Garamond"/>
          <w:sz w:val="22"/>
          <w:szCs w:val="22"/>
        </w:rPr>
      </w:pPr>
      <w:r w:rsidRPr="005E7AA7">
        <w:rPr>
          <w:rFonts w:ascii="Garamond" w:hAnsi="Garamond"/>
          <w:sz w:val="22"/>
          <w:szCs w:val="22"/>
        </w:rPr>
        <w:t xml:space="preserve">In Table </w:t>
      </w:r>
      <w:r w:rsidR="00F869F3" w:rsidRPr="005E7AA7">
        <w:rPr>
          <w:rFonts w:ascii="Garamond" w:hAnsi="Garamond"/>
          <w:sz w:val="22"/>
          <w:szCs w:val="22"/>
        </w:rPr>
        <w:t>2</w:t>
      </w:r>
      <w:r w:rsidRPr="005E7AA7">
        <w:rPr>
          <w:rFonts w:ascii="Garamond" w:hAnsi="Garamond"/>
          <w:sz w:val="22"/>
          <w:szCs w:val="22"/>
        </w:rPr>
        <w:t xml:space="preserve"> are shown the data for consumption frequency of ‘junk foods.’ These are packaged snack foods such as </w:t>
      </w:r>
      <w:r w:rsidR="00551B6F" w:rsidRPr="005E7AA7">
        <w:rPr>
          <w:rFonts w:ascii="Garamond" w:hAnsi="Garamond"/>
          <w:sz w:val="22"/>
          <w:szCs w:val="22"/>
        </w:rPr>
        <w:t>biscuits</w:t>
      </w:r>
      <w:r w:rsidRPr="005E7AA7">
        <w:rPr>
          <w:rFonts w:ascii="Garamond" w:hAnsi="Garamond"/>
          <w:sz w:val="22"/>
          <w:szCs w:val="22"/>
        </w:rPr>
        <w:t xml:space="preserve"> </w:t>
      </w:r>
      <w:r w:rsidRPr="005E7AA7">
        <w:rPr>
          <w:rFonts w:ascii="Garamond" w:hAnsi="Garamond"/>
          <w:i/>
          <w:sz w:val="22"/>
          <w:szCs w:val="22"/>
        </w:rPr>
        <w:t>(</w:t>
      </w:r>
      <w:proofErr w:type="spellStart"/>
      <w:r w:rsidRPr="005E7AA7">
        <w:rPr>
          <w:rFonts w:ascii="Garamond" w:hAnsi="Garamond"/>
          <w:i/>
          <w:sz w:val="22"/>
          <w:szCs w:val="22"/>
        </w:rPr>
        <w:t>galletas</w:t>
      </w:r>
      <w:proofErr w:type="spellEnd"/>
      <w:r w:rsidRPr="005E7AA7">
        <w:rPr>
          <w:rFonts w:ascii="Garamond" w:hAnsi="Garamond"/>
          <w:iCs/>
          <w:sz w:val="22"/>
          <w:szCs w:val="22"/>
        </w:rPr>
        <w:t>)</w:t>
      </w:r>
      <w:r w:rsidRPr="005E7AA7">
        <w:rPr>
          <w:rFonts w:ascii="Garamond" w:hAnsi="Garamond"/>
          <w:i/>
          <w:sz w:val="22"/>
          <w:szCs w:val="22"/>
        </w:rPr>
        <w:t xml:space="preserve">, </w:t>
      </w:r>
      <w:r w:rsidRPr="005E7AA7">
        <w:rPr>
          <w:rFonts w:ascii="Garamond" w:hAnsi="Garamond"/>
          <w:iCs/>
          <w:sz w:val="22"/>
          <w:szCs w:val="22"/>
        </w:rPr>
        <w:t>fried</w:t>
      </w:r>
      <w:r w:rsidRPr="005E7AA7">
        <w:rPr>
          <w:rFonts w:ascii="Garamond" w:hAnsi="Garamond"/>
          <w:i/>
          <w:sz w:val="22"/>
          <w:szCs w:val="22"/>
        </w:rPr>
        <w:t xml:space="preserve"> </w:t>
      </w:r>
      <w:r w:rsidRPr="005E7AA7">
        <w:rPr>
          <w:rFonts w:ascii="Garamond" w:hAnsi="Garamond"/>
          <w:iCs/>
          <w:sz w:val="22"/>
          <w:szCs w:val="22"/>
        </w:rPr>
        <w:t>chips or crisps of corn, potato, or wheat (</w:t>
      </w:r>
      <w:proofErr w:type="spellStart"/>
      <w:r w:rsidRPr="005E7AA7">
        <w:rPr>
          <w:rFonts w:ascii="Garamond" w:hAnsi="Garamond"/>
          <w:i/>
          <w:sz w:val="22"/>
          <w:szCs w:val="22"/>
        </w:rPr>
        <w:t>frituras</w:t>
      </w:r>
      <w:proofErr w:type="spellEnd"/>
      <w:r w:rsidRPr="005E7AA7">
        <w:rPr>
          <w:rFonts w:ascii="Garamond" w:hAnsi="Garamond"/>
          <w:i/>
          <w:sz w:val="22"/>
          <w:szCs w:val="22"/>
        </w:rPr>
        <w:t xml:space="preserve"> de </w:t>
      </w:r>
      <w:proofErr w:type="spellStart"/>
      <w:r w:rsidRPr="005E7AA7">
        <w:rPr>
          <w:rFonts w:ascii="Garamond" w:hAnsi="Garamond"/>
          <w:i/>
          <w:sz w:val="22"/>
          <w:szCs w:val="22"/>
        </w:rPr>
        <w:t>maiz</w:t>
      </w:r>
      <w:proofErr w:type="spellEnd"/>
      <w:r w:rsidRPr="005E7AA7">
        <w:rPr>
          <w:rFonts w:ascii="Garamond" w:hAnsi="Garamond"/>
          <w:i/>
          <w:sz w:val="22"/>
          <w:szCs w:val="22"/>
        </w:rPr>
        <w:t xml:space="preserve">, papa y </w:t>
      </w:r>
      <w:proofErr w:type="spellStart"/>
      <w:r w:rsidRPr="005E7AA7">
        <w:rPr>
          <w:rFonts w:ascii="Garamond" w:hAnsi="Garamond"/>
          <w:i/>
          <w:sz w:val="22"/>
          <w:szCs w:val="22"/>
        </w:rPr>
        <w:t>trigo</w:t>
      </w:r>
      <w:proofErr w:type="spellEnd"/>
      <w:r w:rsidRPr="005E7AA7">
        <w:rPr>
          <w:rFonts w:ascii="Garamond" w:hAnsi="Garamond"/>
          <w:iCs/>
          <w:sz w:val="22"/>
          <w:szCs w:val="22"/>
        </w:rPr>
        <w:t xml:space="preserve">), </w:t>
      </w:r>
      <w:r w:rsidR="007A23FC" w:rsidRPr="005E7AA7">
        <w:rPr>
          <w:rFonts w:ascii="Garamond" w:hAnsi="Garamond"/>
          <w:iCs/>
          <w:sz w:val="22"/>
          <w:szCs w:val="22"/>
        </w:rPr>
        <w:t>cadies and sweets (</w:t>
      </w:r>
      <w:proofErr w:type="spellStart"/>
      <w:r w:rsidR="007A23FC" w:rsidRPr="005E7AA7">
        <w:rPr>
          <w:rFonts w:ascii="Garamond" w:hAnsi="Garamond"/>
          <w:i/>
          <w:sz w:val="22"/>
          <w:szCs w:val="22"/>
        </w:rPr>
        <w:t>dulces</w:t>
      </w:r>
      <w:proofErr w:type="spellEnd"/>
      <w:r w:rsidR="007A23FC" w:rsidRPr="005E7AA7">
        <w:rPr>
          <w:rFonts w:ascii="Garamond" w:hAnsi="Garamond"/>
          <w:iCs/>
          <w:sz w:val="22"/>
          <w:szCs w:val="22"/>
        </w:rPr>
        <w:t>), such as</w:t>
      </w:r>
      <w:r w:rsidRPr="005E7AA7">
        <w:rPr>
          <w:rFonts w:ascii="Garamond" w:hAnsi="Garamond"/>
          <w:i/>
          <w:sz w:val="22"/>
          <w:szCs w:val="22"/>
        </w:rPr>
        <w:t xml:space="preserve"> </w:t>
      </w:r>
      <w:r w:rsidRPr="005E7AA7">
        <w:rPr>
          <w:rFonts w:ascii="Garamond" w:hAnsi="Garamond"/>
          <w:iCs/>
          <w:sz w:val="22"/>
          <w:szCs w:val="22"/>
        </w:rPr>
        <w:t>caramels</w:t>
      </w:r>
      <w:r w:rsidR="007A23FC" w:rsidRPr="005E7AA7">
        <w:rPr>
          <w:rFonts w:ascii="Garamond" w:hAnsi="Garamond"/>
          <w:iCs/>
          <w:sz w:val="22"/>
          <w:szCs w:val="22"/>
        </w:rPr>
        <w:t xml:space="preserve"> and</w:t>
      </w:r>
      <w:r w:rsidRPr="005E7AA7">
        <w:rPr>
          <w:rFonts w:ascii="Garamond" w:hAnsi="Garamond"/>
          <w:iCs/>
          <w:sz w:val="22"/>
          <w:szCs w:val="22"/>
        </w:rPr>
        <w:t xml:space="preserve"> chocolates</w:t>
      </w:r>
      <w:r w:rsidRPr="005E7AA7">
        <w:rPr>
          <w:rFonts w:ascii="Garamond" w:hAnsi="Garamond"/>
          <w:sz w:val="22"/>
          <w:szCs w:val="22"/>
        </w:rPr>
        <w:t xml:space="preserve">. </w:t>
      </w:r>
      <w:r w:rsidR="007A23FC" w:rsidRPr="005E7AA7">
        <w:rPr>
          <w:rFonts w:ascii="Garamond" w:hAnsi="Garamond"/>
          <w:sz w:val="22"/>
          <w:szCs w:val="22"/>
        </w:rPr>
        <w:t>M</w:t>
      </w:r>
      <w:r w:rsidRPr="005E7AA7">
        <w:rPr>
          <w:rFonts w:ascii="Garamond" w:hAnsi="Garamond"/>
          <w:sz w:val="22"/>
          <w:szCs w:val="22"/>
        </w:rPr>
        <w:t xml:space="preserve">ost of these </w:t>
      </w:r>
      <w:r w:rsidR="007A23FC" w:rsidRPr="005E7AA7">
        <w:rPr>
          <w:rFonts w:ascii="Garamond" w:hAnsi="Garamond"/>
          <w:sz w:val="22"/>
          <w:szCs w:val="22"/>
        </w:rPr>
        <w:t xml:space="preserve">processed, packaged </w:t>
      </w:r>
      <w:r w:rsidRPr="005E7AA7">
        <w:rPr>
          <w:rFonts w:ascii="Garamond" w:hAnsi="Garamond"/>
          <w:sz w:val="22"/>
          <w:szCs w:val="22"/>
        </w:rPr>
        <w:t xml:space="preserve">products are </w:t>
      </w:r>
      <w:r w:rsidR="007A23FC" w:rsidRPr="005E7AA7">
        <w:rPr>
          <w:rFonts w:ascii="Garamond" w:hAnsi="Garamond"/>
          <w:sz w:val="22"/>
          <w:szCs w:val="22"/>
        </w:rPr>
        <w:t>purchased from the</w:t>
      </w:r>
      <w:r w:rsidRPr="005E7AA7">
        <w:rPr>
          <w:rFonts w:ascii="Garamond" w:hAnsi="Garamond"/>
          <w:sz w:val="22"/>
          <w:szCs w:val="22"/>
        </w:rPr>
        <w:t xml:space="preserve"> </w:t>
      </w:r>
      <w:proofErr w:type="spellStart"/>
      <w:r w:rsidRPr="005E7AA7">
        <w:rPr>
          <w:rFonts w:ascii="Garamond" w:hAnsi="Garamond"/>
          <w:i/>
          <w:sz w:val="22"/>
          <w:szCs w:val="22"/>
        </w:rPr>
        <w:t>tiendas</w:t>
      </w:r>
      <w:proofErr w:type="spellEnd"/>
      <w:r w:rsidRPr="005E7AA7">
        <w:rPr>
          <w:rFonts w:ascii="Garamond" w:hAnsi="Garamond"/>
          <w:sz w:val="22"/>
          <w:szCs w:val="22"/>
        </w:rPr>
        <w:t xml:space="preserve"> </w:t>
      </w:r>
      <w:r w:rsidR="007A23FC" w:rsidRPr="005E7AA7">
        <w:rPr>
          <w:rFonts w:ascii="Garamond" w:hAnsi="Garamond"/>
          <w:sz w:val="22"/>
          <w:szCs w:val="22"/>
        </w:rPr>
        <w:t xml:space="preserve">(small shops) </w:t>
      </w:r>
      <w:r w:rsidRPr="005E7AA7">
        <w:rPr>
          <w:rFonts w:ascii="Garamond" w:hAnsi="Garamond"/>
          <w:sz w:val="22"/>
          <w:szCs w:val="22"/>
        </w:rPr>
        <w:t>located in neighbourhoods</w:t>
      </w:r>
      <w:r w:rsidR="007A23FC" w:rsidRPr="005E7AA7">
        <w:rPr>
          <w:rFonts w:ascii="Garamond" w:hAnsi="Garamond"/>
          <w:sz w:val="22"/>
          <w:szCs w:val="22"/>
        </w:rPr>
        <w:t xml:space="preserve"> where our participants reside</w:t>
      </w:r>
      <w:r w:rsidRPr="005E7AA7">
        <w:rPr>
          <w:rFonts w:ascii="Garamond" w:hAnsi="Garamond"/>
          <w:sz w:val="22"/>
          <w:szCs w:val="22"/>
        </w:rPr>
        <w:t>.</w:t>
      </w:r>
      <w:r w:rsidR="007A23FC" w:rsidRPr="005E7AA7">
        <w:rPr>
          <w:rFonts w:ascii="Garamond" w:hAnsi="Garamond"/>
          <w:sz w:val="22"/>
          <w:szCs w:val="22"/>
        </w:rPr>
        <w:t xml:space="preserve">  Mothers report, generally, no or low consumption of these junk foods. </w:t>
      </w:r>
      <w:r w:rsidR="005177B8" w:rsidRPr="005E7AA7">
        <w:rPr>
          <w:rFonts w:ascii="Garamond" w:hAnsi="Garamond"/>
          <w:sz w:val="22"/>
          <w:szCs w:val="22"/>
        </w:rPr>
        <w:t xml:space="preserve">One mother reported that she and her child only ate junk foods on special occasions, such as a birthday. </w:t>
      </w:r>
      <w:r w:rsidR="007A23FC" w:rsidRPr="005E7AA7">
        <w:rPr>
          <w:rFonts w:ascii="Garamond" w:hAnsi="Garamond"/>
          <w:sz w:val="22"/>
          <w:szCs w:val="22"/>
        </w:rPr>
        <w:t xml:space="preserve">Children, in contrast, are reported to have a low to high consumption of junk foods. About half the children have a medium or high consumption (50.1%). Again, this is based on mothers’ reports and does not include </w:t>
      </w:r>
      <w:r w:rsidR="00551B6F" w:rsidRPr="005E7AA7">
        <w:rPr>
          <w:rFonts w:ascii="Garamond" w:hAnsi="Garamond"/>
          <w:sz w:val="22"/>
          <w:szCs w:val="22"/>
        </w:rPr>
        <w:t>biscuits</w:t>
      </w:r>
      <w:r w:rsidR="007A23FC" w:rsidRPr="005E7AA7">
        <w:rPr>
          <w:rFonts w:ascii="Garamond" w:hAnsi="Garamond"/>
          <w:sz w:val="22"/>
          <w:szCs w:val="22"/>
        </w:rPr>
        <w:t xml:space="preserve">, chips, or sweets eaten outside the home. </w:t>
      </w:r>
    </w:p>
    <w:p w:rsidR="00C54391" w:rsidRPr="005E7AA7" w:rsidRDefault="00C54391" w:rsidP="00C54391">
      <w:pPr>
        <w:spacing w:after="0"/>
        <w:rPr>
          <w:rFonts w:ascii="Garamond" w:hAnsi="Garamond"/>
          <w:b/>
          <w:sz w:val="22"/>
          <w:szCs w:val="22"/>
        </w:rPr>
      </w:pPr>
    </w:p>
    <w:p w:rsidR="00C54391" w:rsidRPr="005E7AA7" w:rsidRDefault="00C54391" w:rsidP="00C54391">
      <w:pPr>
        <w:spacing w:after="0"/>
        <w:rPr>
          <w:rFonts w:ascii="Garamond" w:hAnsi="Garamond"/>
          <w:b/>
          <w:sz w:val="22"/>
          <w:szCs w:val="22"/>
        </w:rPr>
      </w:pPr>
      <w:proofErr w:type="gramStart"/>
      <w:r w:rsidRPr="005E7AA7">
        <w:rPr>
          <w:rFonts w:ascii="Garamond" w:hAnsi="Garamond"/>
          <w:b/>
          <w:sz w:val="22"/>
          <w:szCs w:val="22"/>
        </w:rPr>
        <w:t>Table 2.</w:t>
      </w:r>
      <w:proofErr w:type="gramEnd"/>
      <w:r w:rsidRPr="005E7AA7">
        <w:rPr>
          <w:rFonts w:ascii="Garamond" w:hAnsi="Garamond"/>
          <w:b/>
          <w:sz w:val="22"/>
          <w:szCs w:val="22"/>
        </w:rPr>
        <w:t xml:space="preserve"> Consumption of snack foods by mothers (n=58) and children (n=58)</w:t>
      </w:r>
    </w:p>
    <w:tbl>
      <w:tblPr>
        <w:tblStyle w:val="TableGrid"/>
        <w:tblpPr w:leftFromText="180" w:rightFromText="180" w:vertAnchor="text" w:horzAnchor="margin" w:tblpY="188"/>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3504"/>
        <w:gridCol w:w="1502"/>
        <w:gridCol w:w="1168"/>
        <w:gridCol w:w="1335"/>
        <w:gridCol w:w="1240"/>
      </w:tblGrid>
      <w:tr w:rsidR="00C54391" w:rsidRPr="005E7AA7" w:rsidTr="0033464C">
        <w:trPr>
          <w:trHeight w:val="287"/>
        </w:trPr>
        <w:tc>
          <w:tcPr>
            <w:tcW w:w="3504" w:type="dxa"/>
            <w:vMerge w:val="restart"/>
            <w:tcBorders>
              <w:top w:val="single" w:sz="12" w:space="0" w:color="000000" w:themeColor="text1"/>
            </w:tcBorders>
          </w:tcPr>
          <w:p w:rsidR="00C54391" w:rsidRPr="005E7AA7" w:rsidRDefault="00C54391" w:rsidP="0033464C">
            <w:pPr>
              <w:rPr>
                <w:rFonts w:ascii="Garamond" w:hAnsi="Garamond"/>
                <w:b/>
                <w:sz w:val="22"/>
                <w:szCs w:val="22"/>
              </w:rPr>
            </w:pPr>
            <w:r w:rsidRPr="005E7AA7">
              <w:rPr>
                <w:rFonts w:ascii="Garamond" w:hAnsi="Garamond"/>
                <w:b/>
                <w:sz w:val="22"/>
                <w:szCs w:val="22"/>
              </w:rPr>
              <w:t>Consumption</w:t>
            </w:r>
          </w:p>
        </w:tc>
        <w:tc>
          <w:tcPr>
            <w:tcW w:w="2669" w:type="dxa"/>
            <w:gridSpan w:val="2"/>
            <w:tcBorders>
              <w:top w:val="single" w:sz="12" w:space="0" w:color="000000" w:themeColor="text1"/>
            </w:tcBorders>
          </w:tcPr>
          <w:p w:rsidR="00C54391" w:rsidRPr="005E7AA7" w:rsidRDefault="00C54391" w:rsidP="0033464C">
            <w:pPr>
              <w:jc w:val="center"/>
              <w:rPr>
                <w:rFonts w:ascii="Garamond" w:hAnsi="Garamond"/>
                <w:b/>
                <w:sz w:val="22"/>
                <w:szCs w:val="22"/>
              </w:rPr>
            </w:pPr>
            <w:r w:rsidRPr="005E7AA7">
              <w:rPr>
                <w:rFonts w:ascii="Garamond" w:hAnsi="Garamond"/>
                <w:b/>
                <w:sz w:val="22"/>
                <w:szCs w:val="22"/>
              </w:rPr>
              <w:t>Mothers</w:t>
            </w:r>
          </w:p>
        </w:tc>
        <w:tc>
          <w:tcPr>
            <w:tcW w:w="2575" w:type="dxa"/>
            <w:gridSpan w:val="2"/>
            <w:tcBorders>
              <w:top w:val="single" w:sz="12" w:space="0" w:color="000000" w:themeColor="text1"/>
            </w:tcBorders>
          </w:tcPr>
          <w:p w:rsidR="00C54391" w:rsidRPr="005E7AA7" w:rsidRDefault="00C54391" w:rsidP="0033464C">
            <w:pPr>
              <w:jc w:val="center"/>
              <w:rPr>
                <w:rFonts w:ascii="Garamond" w:hAnsi="Garamond"/>
                <w:b/>
                <w:sz w:val="22"/>
                <w:szCs w:val="22"/>
              </w:rPr>
            </w:pPr>
            <w:r w:rsidRPr="005E7AA7">
              <w:rPr>
                <w:rFonts w:ascii="Garamond" w:hAnsi="Garamond"/>
                <w:b/>
                <w:sz w:val="22"/>
                <w:szCs w:val="22"/>
              </w:rPr>
              <w:t>Children</w:t>
            </w:r>
          </w:p>
        </w:tc>
      </w:tr>
      <w:tr w:rsidR="00C54391" w:rsidRPr="005E7AA7" w:rsidTr="0033464C">
        <w:trPr>
          <w:trHeight w:val="143"/>
        </w:trPr>
        <w:tc>
          <w:tcPr>
            <w:tcW w:w="3504" w:type="dxa"/>
            <w:vMerge/>
            <w:tcBorders>
              <w:bottom w:val="single" w:sz="12" w:space="0" w:color="000000" w:themeColor="text1"/>
            </w:tcBorders>
          </w:tcPr>
          <w:p w:rsidR="00C54391" w:rsidRPr="005E7AA7" w:rsidRDefault="00C54391" w:rsidP="0033464C">
            <w:pPr>
              <w:rPr>
                <w:rFonts w:ascii="Garamond" w:hAnsi="Garamond"/>
                <w:b/>
                <w:sz w:val="22"/>
                <w:szCs w:val="22"/>
              </w:rPr>
            </w:pPr>
          </w:p>
        </w:tc>
        <w:tc>
          <w:tcPr>
            <w:tcW w:w="1502" w:type="dxa"/>
            <w:tcBorders>
              <w:bottom w:val="single" w:sz="12" w:space="0" w:color="000000" w:themeColor="text1"/>
            </w:tcBorders>
          </w:tcPr>
          <w:p w:rsidR="00C54391" w:rsidRPr="005E7AA7" w:rsidRDefault="00C54391" w:rsidP="0033464C">
            <w:pPr>
              <w:jc w:val="center"/>
              <w:rPr>
                <w:rFonts w:ascii="Garamond" w:hAnsi="Garamond"/>
                <w:b/>
                <w:sz w:val="22"/>
                <w:szCs w:val="22"/>
              </w:rPr>
            </w:pPr>
            <w:r w:rsidRPr="005E7AA7">
              <w:rPr>
                <w:rFonts w:ascii="Garamond" w:hAnsi="Garamond"/>
                <w:b/>
                <w:sz w:val="22"/>
                <w:szCs w:val="22"/>
              </w:rPr>
              <w:t>F</w:t>
            </w:r>
          </w:p>
        </w:tc>
        <w:tc>
          <w:tcPr>
            <w:tcW w:w="1168" w:type="dxa"/>
            <w:tcBorders>
              <w:bottom w:val="single" w:sz="12" w:space="0" w:color="000000" w:themeColor="text1"/>
            </w:tcBorders>
          </w:tcPr>
          <w:p w:rsidR="00C54391" w:rsidRPr="005E7AA7" w:rsidRDefault="00C54391" w:rsidP="0033464C">
            <w:pPr>
              <w:jc w:val="center"/>
              <w:rPr>
                <w:rFonts w:ascii="Garamond" w:hAnsi="Garamond"/>
                <w:b/>
                <w:sz w:val="22"/>
                <w:szCs w:val="22"/>
              </w:rPr>
            </w:pPr>
            <w:r w:rsidRPr="005E7AA7">
              <w:rPr>
                <w:rFonts w:ascii="Garamond" w:hAnsi="Garamond"/>
                <w:b/>
                <w:sz w:val="22"/>
                <w:szCs w:val="22"/>
              </w:rPr>
              <w:t>%</w:t>
            </w:r>
          </w:p>
        </w:tc>
        <w:tc>
          <w:tcPr>
            <w:tcW w:w="1335" w:type="dxa"/>
            <w:tcBorders>
              <w:bottom w:val="single" w:sz="12" w:space="0" w:color="000000" w:themeColor="text1"/>
            </w:tcBorders>
          </w:tcPr>
          <w:p w:rsidR="00C54391" w:rsidRPr="005E7AA7" w:rsidRDefault="00C54391" w:rsidP="0033464C">
            <w:pPr>
              <w:jc w:val="center"/>
              <w:rPr>
                <w:rFonts w:ascii="Garamond" w:hAnsi="Garamond"/>
                <w:b/>
                <w:sz w:val="22"/>
                <w:szCs w:val="22"/>
              </w:rPr>
            </w:pPr>
            <w:r w:rsidRPr="005E7AA7">
              <w:rPr>
                <w:rFonts w:ascii="Garamond" w:hAnsi="Garamond"/>
                <w:b/>
                <w:sz w:val="22"/>
                <w:szCs w:val="22"/>
              </w:rPr>
              <w:t>F</w:t>
            </w:r>
          </w:p>
        </w:tc>
        <w:tc>
          <w:tcPr>
            <w:tcW w:w="1240" w:type="dxa"/>
            <w:tcBorders>
              <w:bottom w:val="single" w:sz="12" w:space="0" w:color="000000" w:themeColor="text1"/>
            </w:tcBorders>
          </w:tcPr>
          <w:p w:rsidR="00C54391" w:rsidRPr="005E7AA7" w:rsidRDefault="00C54391" w:rsidP="0033464C">
            <w:pPr>
              <w:jc w:val="center"/>
              <w:rPr>
                <w:rFonts w:ascii="Garamond" w:hAnsi="Garamond"/>
                <w:b/>
                <w:sz w:val="22"/>
                <w:szCs w:val="22"/>
              </w:rPr>
            </w:pPr>
            <w:r w:rsidRPr="005E7AA7">
              <w:rPr>
                <w:rFonts w:ascii="Garamond" w:hAnsi="Garamond"/>
                <w:b/>
                <w:sz w:val="22"/>
                <w:szCs w:val="22"/>
              </w:rPr>
              <w:t>%</w:t>
            </w:r>
          </w:p>
        </w:tc>
      </w:tr>
      <w:tr w:rsidR="00C54391" w:rsidRPr="005E7AA7" w:rsidTr="0033464C">
        <w:trPr>
          <w:trHeight w:val="287"/>
        </w:trPr>
        <w:tc>
          <w:tcPr>
            <w:tcW w:w="3504" w:type="dxa"/>
            <w:tcBorders>
              <w:top w:val="single" w:sz="12" w:space="0" w:color="000000" w:themeColor="text1"/>
              <w:bottom w:val="nil"/>
            </w:tcBorders>
          </w:tcPr>
          <w:p w:rsidR="00C54391" w:rsidRPr="005E7AA7" w:rsidRDefault="00C54391" w:rsidP="0033464C">
            <w:pPr>
              <w:rPr>
                <w:rFonts w:ascii="Garamond" w:hAnsi="Garamond"/>
                <w:sz w:val="22"/>
                <w:szCs w:val="22"/>
              </w:rPr>
            </w:pPr>
            <w:r w:rsidRPr="005E7AA7">
              <w:rPr>
                <w:rFonts w:ascii="Garamond" w:hAnsi="Garamond"/>
                <w:sz w:val="22"/>
                <w:szCs w:val="22"/>
              </w:rPr>
              <w:t>No consumption</w:t>
            </w:r>
          </w:p>
        </w:tc>
        <w:tc>
          <w:tcPr>
            <w:tcW w:w="1502" w:type="dxa"/>
            <w:tcBorders>
              <w:top w:val="single" w:sz="12" w:space="0" w:color="000000" w:themeColor="text1"/>
              <w:bottom w:val="nil"/>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15</w:t>
            </w:r>
          </w:p>
        </w:tc>
        <w:tc>
          <w:tcPr>
            <w:tcW w:w="1168" w:type="dxa"/>
            <w:tcBorders>
              <w:top w:val="single" w:sz="12" w:space="0" w:color="000000" w:themeColor="text1"/>
              <w:bottom w:val="nil"/>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25.9</w:t>
            </w:r>
          </w:p>
        </w:tc>
        <w:tc>
          <w:tcPr>
            <w:tcW w:w="1335" w:type="dxa"/>
            <w:tcBorders>
              <w:top w:val="single" w:sz="12" w:space="0" w:color="000000" w:themeColor="text1"/>
              <w:bottom w:val="nil"/>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6</w:t>
            </w:r>
          </w:p>
        </w:tc>
        <w:tc>
          <w:tcPr>
            <w:tcW w:w="1240" w:type="dxa"/>
            <w:tcBorders>
              <w:top w:val="single" w:sz="12" w:space="0" w:color="000000" w:themeColor="text1"/>
              <w:bottom w:val="nil"/>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10.3</w:t>
            </w:r>
          </w:p>
        </w:tc>
      </w:tr>
      <w:tr w:rsidR="00C54391" w:rsidRPr="005E7AA7" w:rsidTr="0033464C">
        <w:trPr>
          <w:trHeight w:val="274"/>
        </w:trPr>
        <w:tc>
          <w:tcPr>
            <w:tcW w:w="3504" w:type="dxa"/>
            <w:tcBorders>
              <w:top w:val="nil"/>
              <w:bottom w:val="nil"/>
            </w:tcBorders>
          </w:tcPr>
          <w:p w:rsidR="00C54391" w:rsidRPr="005E7AA7" w:rsidRDefault="00C54391" w:rsidP="0033464C">
            <w:pPr>
              <w:rPr>
                <w:rFonts w:ascii="Garamond" w:hAnsi="Garamond"/>
                <w:sz w:val="22"/>
                <w:szCs w:val="22"/>
              </w:rPr>
            </w:pPr>
            <w:r w:rsidRPr="005E7AA7">
              <w:rPr>
                <w:rFonts w:ascii="Garamond" w:hAnsi="Garamond"/>
                <w:sz w:val="22"/>
                <w:szCs w:val="22"/>
              </w:rPr>
              <w:t>Low</w:t>
            </w:r>
          </w:p>
        </w:tc>
        <w:tc>
          <w:tcPr>
            <w:tcW w:w="1502" w:type="dxa"/>
            <w:tcBorders>
              <w:top w:val="nil"/>
              <w:bottom w:val="nil"/>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30</w:t>
            </w:r>
          </w:p>
        </w:tc>
        <w:tc>
          <w:tcPr>
            <w:tcW w:w="1168" w:type="dxa"/>
            <w:tcBorders>
              <w:top w:val="nil"/>
              <w:bottom w:val="nil"/>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51.6</w:t>
            </w:r>
          </w:p>
        </w:tc>
        <w:tc>
          <w:tcPr>
            <w:tcW w:w="1335" w:type="dxa"/>
            <w:tcBorders>
              <w:top w:val="nil"/>
              <w:bottom w:val="nil"/>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22</w:t>
            </w:r>
          </w:p>
        </w:tc>
        <w:tc>
          <w:tcPr>
            <w:tcW w:w="1240" w:type="dxa"/>
            <w:tcBorders>
              <w:top w:val="nil"/>
              <w:bottom w:val="nil"/>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37.9</w:t>
            </w:r>
          </w:p>
        </w:tc>
      </w:tr>
      <w:tr w:rsidR="00C54391" w:rsidRPr="005E7AA7" w:rsidTr="0033464C">
        <w:trPr>
          <w:trHeight w:val="274"/>
        </w:trPr>
        <w:tc>
          <w:tcPr>
            <w:tcW w:w="3504" w:type="dxa"/>
            <w:tcBorders>
              <w:top w:val="nil"/>
              <w:bottom w:val="nil"/>
            </w:tcBorders>
          </w:tcPr>
          <w:p w:rsidR="00C54391" w:rsidRPr="005E7AA7" w:rsidRDefault="00C54391" w:rsidP="0033464C">
            <w:pPr>
              <w:rPr>
                <w:rFonts w:ascii="Garamond" w:hAnsi="Garamond"/>
                <w:sz w:val="22"/>
                <w:szCs w:val="22"/>
              </w:rPr>
            </w:pPr>
            <w:r w:rsidRPr="005E7AA7">
              <w:rPr>
                <w:rFonts w:ascii="Garamond" w:hAnsi="Garamond"/>
                <w:sz w:val="22"/>
                <w:szCs w:val="22"/>
              </w:rPr>
              <w:t>Medium</w:t>
            </w:r>
          </w:p>
        </w:tc>
        <w:tc>
          <w:tcPr>
            <w:tcW w:w="1502" w:type="dxa"/>
            <w:tcBorders>
              <w:top w:val="nil"/>
              <w:bottom w:val="nil"/>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7</w:t>
            </w:r>
          </w:p>
        </w:tc>
        <w:tc>
          <w:tcPr>
            <w:tcW w:w="1168" w:type="dxa"/>
            <w:tcBorders>
              <w:top w:val="nil"/>
              <w:bottom w:val="nil"/>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12.2</w:t>
            </w:r>
          </w:p>
        </w:tc>
        <w:tc>
          <w:tcPr>
            <w:tcW w:w="1335" w:type="dxa"/>
            <w:tcBorders>
              <w:top w:val="nil"/>
              <w:bottom w:val="nil"/>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10</w:t>
            </w:r>
          </w:p>
        </w:tc>
        <w:tc>
          <w:tcPr>
            <w:tcW w:w="1240" w:type="dxa"/>
            <w:tcBorders>
              <w:top w:val="nil"/>
              <w:bottom w:val="nil"/>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17.3</w:t>
            </w:r>
          </w:p>
        </w:tc>
      </w:tr>
      <w:tr w:rsidR="00C54391" w:rsidRPr="005E7AA7" w:rsidTr="0033464C">
        <w:trPr>
          <w:trHeight w:val="274"/>
        </w:trPr>
        <w:tc>
          <w:tcPr>
            <w:tcW w:w="3504" w:type="dxa"/>
            <w:tcBorders>
              <w:top w:val="nil"/>
              <w:bottom w:val="nil"/>
            </w:tcBorders>
          </w:tcPr>
          <w:p w:rsidR="00C54391" w:rsidRPr="005E7AA7" w:rsidRDefault="00C54391" w:rsidP="0033464C">
            <w:pPr>
              <w:rPr>
                <w:rFonts w:ascii="Garamond" w:hAnsi="Garamond"/>
                <w:sz w:val="22"/>
                <w:szCs w:val="22"/>
              </w:rPr>
            </w:pPr>
            <w:r w:rsidRPr="005E7AA7">
              <w:rPr>
                <w:rFonts w:ascii="Garamond" w:hAnsi="Garamond"/>
                <w:sz w:val="22"/>
                <w:szCs w:val="22"/>
              </w:rPr>
              <w:t xml:space="preserve">High </w:t>
            </w:r>
          </w:p>
        </w:tc>
        <w:tc>
          <w:tcPr>
            <w:tcW w:w="1502" w:type="dxa"/>
            <w:tcBorders>
              <w:top w:val="nil"/>
              <w:bottom w:val="nil"/>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5</w:t>
            </w:r>
          </w:p>
        </w:tc>
        <w:tc>
          <w:tcPr>
            <w:tcW w:w="1168" w:type="dxa"/>
            <w:tcBorders>
              <w:top w:val="nil"/>
              <w:bottom w:val="nil"/>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8.6</w:t>
            </w:r>
          </w:p>
        </w:tc>
        <w:tc>
          <w:tcPr>
            <w:tcW w:w="1335" w:type="dxa"/>
            <w:tcBorders>
              <w:top w:val="nil"/>
              <w:bottom w:val="nil"/>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19</w:t>
            </w:r>
          </w:p>
        </w:tc>
        <w:tc>
          <w:tcPr>
            <w:tcW w:w="1240" w:type="dxa"/>
            <w:tcBorders>
              <w:top w:val="nil"/>
              <w:bottom w:val="nil"/>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32.8</w:t>
            </w:r>
          </w:p>
        </w:tc>
      </w:tr>
      <w:tr w:rsidR="00C54391" w:rsidRPr="005E7AA7" w:rsidTr="0033464C">
        <w:trPr>
          <w:trHeight w:val="274"/>
        </w:trPr>
        <w:tc>
          <w:tcPr>
            <w:tcW w:w="3504" w:type="dxa"/>
            <w:tcBorders>
              <w:top w:val="nil"/>
              <w:bottom w:val="single" w:sz="12" w:space="0" w:color="000000" w:themeColor="text1"/>
            </w:tcBorders>
          </w:tcPr>
          <w:p w:rsidR="00C54391" w:rsidRPr="005E7AA7" w:rsidRDefault="00C54391" w:rsidP="0033464C">
            <w:pPr>
              <w:rPr>
                <w:rFonts w:ascii="Garamond" w:hAnsi="Garamond"/>
                <w:sz w:val="22"/>
                <w:szCs w:val="22"/>
              </w:rPr>
            </w:pPr>
            <w:r w:rsidRPr="005E7AA7">
              <w:rPr>
                <w:rFonts w:ascii="Garamond" w:hAnsi="Garamond"/>
                <w:sz w:val="22"/>
                <w:szCs w:val="22"/>
              </w:rPr>
              <w:t>Special occasions</w:t>
            </w:r>
          </w:p>
        </w:tc>
        <w:tc>
          <w:tcPr>
            <w:tcW w:w="1502" w:type="dxa"/>
            <w:tcBorders>
              <w:top w:val="nil"/>
              <w:bottom w:val="single" w:sz="12" w:space="0" w:color="000000" w:themeColor="text1"/>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1</w:t>
            </w:r>
          </w:p>
        </w:tc>
        <w:tc>
          <w:tcPr>
            <w:tcW w:w="1168" w:type="dxa"/>
            <w:tcBorders>
              <w:top w:val="nil"/>
              <w:bottom w:val="single" w:sz="12" w:space="0" w:color="000000" w:themeColor="text1"/>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1.7</w:t>
            </w:r>
          </w:p>
        </w:tc>
        <w:tc>
          <w:tcPr>
            <w:tcW w:w="1335" w:type="dxa"/>
            <w:tcBorders>
              <w:top w:val="nil"/>
              <w:bottom w:val="single" w:sz="12" w:space="0" w:color="000000" w:themeColor="text1"/>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1</w:t>
            </w:r>
          </w:p>
        </w:tc>
        <w:tc>
          <w:tcPr>
            <w:tcW w:w="1240" w:type="dxa"/>
            <w:tcBorders>
              <w:top w:val="nil"/>
              <w:bottom w:val="single" w:sz="12" w:space="0" w:color="000000" w:themeColor="text1"/>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1.7</w:t>
            </w:r>
          </w:p>
        </w:tc>
      </w:tr>
      <w:tr w:rsidR="00C54391" w:rsidRPr="005E7AA7" w:rsidTr="0033464C">
        <w:trPr>
          <w:trHeight w:val="287"/>
        </w:trPr>
        <w:tc>
          <w:tcPr>
            <w:tcW w:w="3504" w:type="dxa"/>
            <w:tcBorders>
              <w:top w:val="single" w:sz="12" w:space="0" w:color="000000" w:themeColor="text1"/>
              <w:bottom w:val="single" w:sz="12" w:space="0" w:color="000000" w:themeColor="text1"/>
            </w:tcBorders>
          </w:tcPr>
          <w:p w:rsidR="00C54391" w:rsidRPr="005E7AA7" w:rsidRDefault="00C54391" w:rsidP="0033464C">
            <w:pPr>
              <w:rPr>
                <w:rFonts w:ascii="Garamond" w:hAnsi="Garamond"/>
                <w:sz w:val="22"/>
                <w:szCs w:val="22"/>
              </w:rPr>
            </w:pPr>
            <w:r w:rsidRPr="005E7AA7">
              <w:rPr>
                <w:rFonts w:ascii="Garamond" w:hAnsi="Garamond"/>
                <w:sz w:val="22"/>
                <w:szCs w:val="22"/>
              </w:rPr>
              <w:t>Total</w:t>
            </w:r>
          </w:p>
        </w:tc>
        <w:tc>
          <w:tcPr>
            <w:tcW w:w="1502" w:type="dxa"/>
            <w:tcBorders>
              <w:top w:val="single" w:sz="12" w:space="0" w:color="000000" w:themeColor="text1"/>
              <w:bottom w:val="single" w:sz="12" w:space="0" w:color="000000" w:themeColor="text1"/>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58</w:t>
            </w:r>
          </w:p>
        </w:tc>
        <w:tc>
          <w:tcPr>
            <w:tcW w:w="1168" w:type="dxa"/>
            <w:tcBorders>
              <w:top w:val="single" w:sz="12" w:space="0" w:color="000000" w:themeColor="text1"/>
              <w:bottom w:val="single" w:sz="12" w:space="0" w:color="000000" w:themeColor="text1"/>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100</w:t>
            </w:r>
          </w:p>
        </w:tc>
        <w:tc>
          <w:tcPr>
            <w:tcW w:w="1335" w:type="dxa"/>
            <w:tcBorders>
              <w:top w:val="single" w:sz="12" w:space="0" w:color="000000" w:themeColor="text1"/>
              <w:bottom w:val="single" w:sz="12" w:space="0" w:color="000000" w:themeColor="text1"/>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58</w:t>
            </w:r>
          </w:p>
        </w:tc>
        <w:tc>
          <w:tcPr>
            <w:tcW w:w="1240" w:type="dxa"/>
            <w:tcBorders>
              <w:top w:val="single" w:sz="12" w:space="0" w:color="000000" w:themeColor="text1"/>
              <w:bottom w:val="single" w:sz="12" w:space="0" w:color="000000" w:themeColor="text1"/>
            </w:tcBorders>
          </w:tcPr>
          <w:p w:rsidR="00C54391" w:rsidRPr="005E7AA7" w:rsidRDefault="00C54391" w:rsidP="0033464C">
            <w:pPr>
              <w:jc w:val="center"/>
              <w:rPr>
                <w:rFonts w:ascii="Garamond" w:hAnsi="Garamond"/>
                <w:sz w:val="22"/>
                <w:szCs w:val="22"/>
              </w:rPr>
            </w:pPr>
            <w:r w:rsidRPr="005E7AA7">
              <w:rPr>
                <w:rFonts w:ascii="Garamond" w:hAnsi="Garamond"/>
                <w:sz w:val="22"/>
                <w:szCs w:val="22"/>
              </w:rPr>
              <w:t>100</w:t>
            </w:r>
          </w:p>
        </w:tc>
      </w:tr>
    </w:tbl>
    <w:p w:rsidR="00C54391" w:rsidRPr="005E7AA7" w:rsidRDefault="00C54391" w:rsidP="00C54391">
      <w:pPr>
        <w:spacing w:before="120" w:after="0"/>
        <w:rPr>
          <w:rFonts w:ascii="Garamond" w:hAnsi="Garamond"/>
          <w:sz w:val="22"/>
          <w:szCs w:val="22"/>
        </w:rPr>
      </w:pPr>
      <w:r w:rsidRPr="005E7AA7">
        <w:rPr>
          <w:rFonts w:ascii="Garamond" w:hAnsi="Garamond"/>
          <w:sz w:val="22"/>
          <w:szCs w:val="22"/>
        </w:rPr>
        <w:t>F = frequency</w:t>
      </w:r>
      <w:proofErr w:type="gramStart"/>
      <w:r w:rsidRPr="005E7AA7">
        <w:rPr>
          <w:rFonts w:ascii="Garamond" w:hAnsi="Garamond"/>
          <w:sz w:val="22"/>
          <w:szCs w:val="22"/>
        </w:rPr>
        <w:t>;  Low</w:t>
      </w:r>
      <w:proofErr w:type="gramEnd"/>
      <w:r w:rsidRPr="005E7AA7">
        <w:rPr>
          <w:rFonts w:ascii="Garamond" w:hAnsi="Garamond"/>
          <w:sz w:val="22"/>
          <w:szCs w:val="22"/>
        </w:rPr>
        <w:t>: 1-2 days per week; medium: 3-4 days per week; high: 5-7 days per week</w:t>
      </w:r>
    </w:p>
    <w:p w:rsidR="005E7AA7" w:rsidRDefault="005E7AA7" w:rsidP="005E7AA7">
      <w:pPr>
        <w:rPr>
          <w:rFonts w:ascii="Garamond" w:hAnsi="Garamond"/>
          <w:sz w:val="22"/>
          <w:szCs w:val="22"/>
        </w:rPr>
      </w:pPr>
    </w:p>
    <w:p w:rsidR="00FD179C" w:rsidRPr="005E7AA7" w:rsidRDefault="00DA6340" w:rsidP="005E7AA7">
      <w:pPr>
        <w:rPr>
          <w:rFonts w:ascii="Garamond" w:hAnsi="Garamond"/>
          <w:sz w:val="22"/>
          <w:szCs w:val="22"/>
          <w:lang w:val="en-US"/>
        </w:rPr>
      </w:pPr>
      <w:r w:rsidRPr="005E7AA7">
        <w:rPr>
          <w:rFonts w:ascii="Garamond" w:hAnsi="Garamond"/>
          <w:sz w:val="22"/>
          <w:szCs w:val="22"/>
          <w:lang w:val="en-US"/>
        </w:rPr>
        <w:t>We compared and interpreted the results from our FFQ against the Mexican National Health and Nutrition Survey (</w:t>
      </w:r>
      <w:proofErr w:type="spellStart"/>
      <w:r w:rsidRPr="005E7AA7">
        <w:rPr>
          <w:rFonts w:ascii="Garamond" w:hAnsi="Garamond"/>
          <w:i/>
          <w:sz w:val="22"/>
          <w:szCs w:val="22"/>
          <w:lang w:val="en-US"/>
        </w:rPr>
        <w:t>Encuesta</w:t>
      </w:r>
      <w:proofErr w:type="spellEnd"/>
      <w:r w:rsidRPr="005E7AA7">
        <w:rPr>
          <w:rFonts w:ascii="Garamond" w:hAnsi="Garamond"/>
          <w:i/>
          <w:sz w:val="22"/>
          <w:szCs w:val="22"/>
          <w:lang w:val="en-US"/>
        </w:rPr>
        <w:t xml:space="preserve"> </w:t>
      </w:r>
      <w:proofErr w:type="spellStart"/>
      <w:r w:rsidRPr="005E7AA7">
        <w:rPr>
          <w:rFonts w:ascii="Garamond" w:hAnsi="Garamond"/>
          <w:i/>
          <w:sz w:val="22"/>
          <w:szCs w:val="22"/>
          <w:lang w:val="en-US"/>
        </w:rPr>
        <w:t>Nacional</w:t>
      </w:r>
      <w:proofErr w:type="spellEnd"/>
      <w:r w:rsidRPr="005E7AA7">
        <w:rPr>
          <w:rFonts w:ascii="Garamond" w:hAnsi="Garamond"/>
          <w:i/>
          <w:sz w:val="22"/>
          <w:szCs w:val="22"/>
          <w:lang w:val="en-US"/>
        </w:rPr>
        <w:t xml:space="preserve"> de </w:t>
      </w:r>
      <w:proofErr w:type="spellStart"/>
      <w:r w:rsidRPr="005E7AA7">
        <w:rPr>
          <w:rFonts w:ascii="Garamond" w:hAnsi="Garamond"/>
          <w:i/>
          <w:sz w:val="22"/>
          <w:szCs w:val="22"/>
          <w:lang w:val="en-US"/>
        </w:rPr>
        <w:t>Salud</w:t>
      </w:r>
      <w:proofErr w:type="spellEnd"/>
      <w:r w:rsidRPr="005E7AA7">
        <w:rPr>
          <w:rFonts w:ascii="Garamond" w:hAnsi="Garamond"/>
          <w:i/>
          <w:sz w:val="22"/>
          <w:szCs w:val="22"/>
          <w:lang w:val="en-US"/>
        </w:rPr>
        <w:t xml:space="preserve"> y </w:t>
      </w:r>
      <w:proofErr w:type="spellStart"/>
      <w:r w:rsidRPr="005E7AA7">
        <w:rPr>
          <w:rFonts w:ascii="Garamond" w:hAnsi="Garamond"/>
          <w:i/>
          <w:sz w:val="22"/>
          <w:szCs w:val="22"/>
          <w:lang w:val="en-US"/>
        </w:rPr>
        <w:t>Nutrición</w:t>
      </w:r>
      <w:proofErr w:type="spellEnd"/>
      <w:r w:rsidRPr="005E7AA7">
        <w:rPr>
          <w:rFonts w:ascii="Garamond" w:hAnsi="Garamond"/>
          <w:sz w:val="22"/>
          <w:szCs w:val="22"/>
          <w:lang w:val="en-US"/>
        </w:rPr>
        <w:t xml:space="preserve">) of 2006 </w:t>
      </w:r>
      <w:r w:rsidRPr="005E7AA7">
        <w:rPr>
          <w:rFonts w:ascii="Garamond" w:hAnsi="Garamond"/>
          <w:sz w:val="22"/>
          <w:szCs w:val="22"/>
          <w:lang w:val="en-US"/>
        </w:rPr>
        <w:fldChar w:fldCharType="begin" w:fldLock="1"/>
      </w:r>
      <w:r w:rsidR="00033477" w:rsidRPr="005E7AA7">
        <w:rPr>
          <w:rFonts w:ascii="Garamond" w:hAnsi="Garamond"/>
          <w:sz w:val="22"/>
          <w:szCs w:val="22"/>
          <w:lang w:val="en-US"/>
        </w:rPr>
        <w:instrText>ADDIN CSL_CITATION { "citationItems" : [ { "id" : "ITEM-1", "itemData" : { "author" : [ { "dropping-particle" : "", "family" : "Instituto Nacional de Salud P\u00fablica", "given" : "", "non-dropping-particle" : "", "parse-names" : false, "suffix" : "" } ], "id" : "ITEM-1", "issued" : { "date-parts" : [ [ "2007" ] ] }, "publisher-place" : "Cuernavaca, M\u00e9xico", "title" : "Encuesta Nacional de Salud y Nutrici\u00f3n 2006. Resultados por entidad federativa, Yucat\u00e1n.", "type" : "report" }, "uris" : [ "http://www.mendeley.com/documents/?uuid=146ca59f-1149-4bff-b496-416ff3c4e653" ] } ], "mendeley" : { "manualFormatting" : "(Instituto Nacional de Salud P\u00fablica, 2007)", "previouslyFormattedCitation" : "(Instituto Nacional de Salud P\u00fablica, 2007)" }, "properties" : { "noteIndex" : 0 }, "schema" : "https://github.com/citation-style-language/schema/raw/master/csl-citation.json" }</w:instrText>
      </w:r>
      <w:r w:rsidRPr="005E7AA7">
        <w:rPr>
          <w:rFonts w:ascii="Garamond" w:hAnsi="Garamond"/>
          <w:sz w:val="22"/>
          <w:szCs w:val="22"/>
          <w:lang w:val="en-US"/>
        </w:rPr>
        <w:fldChar w:fldCharType="separate"/>
      </w:r>
      <w:r w:rsidRPr="005E7AA7">
        <w:rPr>
          <w:rFonts w:ascii="Garamond" w:hAnsi="Garamond"/>
          <w:noProof/>
          <w:sz w:val="22"/>
          <w:szCs w:val="22"/>
          <w:lang w:val="en-US"/>
        </w:rPr>
        <w:t>(Instituto Nacional de Salud Pública, 2007)</w:t>
      </w:r>
      <w:r w:rsidRPr="005E7AA7">
        <w:rPr>
          <w:rFonts w:ascii="Garamond" w:hAnsi="Garamond"/>
          <w:sz w:val="22"/>
          <w:szCs w:val="22"/>
          <w:lang w:val="en-US"/>
        </w:rPr>
        <w:fldChar w:fldCharType="end"/>
      </w:r>
      <w:r w:rsidRPr="005E7AA7">
        <w:rPr>
          <w:rFonts w:ascii="Garamond" w:hAnsi="Garamond"/>
          <w:sz w:val="22"/>
          <w:szCs w:val="22"/>
          <w:lang w:val="en-US"/>
        </w:rPr>
        <w:t xml:space="preserve">. The Mexican National Health and Nutrition Survey was a carefully constructed, representative </w:t>
      </w:r>
      <w:r w:rsidRPr="005E7AA7">
        <w:rPr>
          <w:rFonts w:ascii="Garamond" w:hAnsi="Garamond"/>
          <w:sz w:val="22"/>
          <w:szCs w:val="22"/>
          <w:lang w:val="en-US"/>
        </w:rPr>
        <w:lastRenderedPageBreak/>
        <w:t xml:space="preserve">investigation of the Mexican population. In Yucatan, the survey included 6,985 persons living in 1,553 households. </w:t>
      </w:r>
      <w:r w:rsidR="00FD179C" w:rsidRPr="005E7AA7">
        <w:rPr>
          <w:rFonts w:ascii="Garamond" w:hAnsi="Garamond"/>
          <w:sz w:val="22"/>
          <w:szCs w:val="22"/>
          <w:lang w:val="en-US"/>
        </w:rPr>
        <w:t xml:space="preserve">A detailed FFQ, including portion sizes of foods eaten, was included. </w:t>
      </w:r>
      <w:r w:rsidRPr="005E7AA7">
        <w:rPr>
          <w:rFonts w:ascii="Garamond" w:hAnsi="Garamond"/>
          <w:sz w:val="22"/>
          <w:szCs w:val="22"/>
          <w:lang w:val="en-US"/>
        </w:rPr>
        <w:t xml:space="preserve">The FFQ included 101 foods and participants were asked for each food item how many times it was eaten in past 7 days, </w:t>
      </w:r>
      <w:r w:rsidRPr="005E7AA7">
        <w:rPr>
          <w:rFonts w:ascii="Garamond" w:hAnsi="Garamond" w:cs="Palatino"/>
          <w:color w:val="221E1F"/>
          <w:sz w:val="22"/>
          <w:szCs w:val="22"/>
        </w:rPr>
        <w:t xml:space="preserve">the number of days per-week the item was eaten, the number of times per day, the portion size (later converted to a weight) eaten, and number of portions eaten each day </w:t>
      </w:r>
      <w:r w:rsidRPr="005E7AA7">
        <w:rPr>
          <w:rFonts w:ascii="Garamond" w:hAnsi="Garamond" w:cs="Palatino"/>
          <w:color w:val="221E1F"/>
          <w:sz w:val="22"/>
          <w:szCs w:val="22"/>
        </w:rPr>
        <w:fldChar w:fldCharType="begin" w:fldLock="1"/>
      </w:r>
      <w:r w:rsidR="00033477" w:rsidRPr="005E7AA7">
        <w:rPr>
          <w:rFonts w:ascii="Garamond" w:hAnsi="Garamond" w:cs="Palatino"/>
          <w:color w:val="221E1F"/>
          <w:sz w:val="22"/>
          <w:szCs w:val="22"/>
        </w:rPr>
        <w:instrText>ADDIN CSL_CITATION { "citationItems" : [ { "id" : "ITEM-1", "itemData" : { "ISSN" : "1606-7916", "PMID" : "20464228", "abstract" : "OBJECTIVE: To describe the methodology for the analysis of dietary data from the Mexican National Health and Nutrition Survey 2006 (ENSANUT 2006) carried out in Mexico. MATERIAL AND METHODS: Dietary data from the population who participated in the ENSANUT 2006 were collected through a 7-day food-frequency questionnaire. Energy and nutrient intake of each food consumed and adequacy percentage by day were also estimated. Intakes and adequacy percentages &gt; 5 SDs from the energy and nutrient general distribution and observations with energy adequacy percentages &lt; 25% were excluded from the analysis. RESULTS: Valid dietary data were obtained from 3552 children aged 1 to 4 years, 8716 children aged 5 to 11 years, 8442 adolescents, 15951 adults, and 3357 older adults. CONCLUSIONS: It is important to detail the methodology for the analysis of dietary data to standardize data cleaning criteria and to be able to compare the results of different studies.", "author" : [ { "dropping-particle" : "", "family" : "Rodr\u00edguez-Ram\u00edrez", "given" : "Sonia", "non-dropping-particle" : "", "parse-names" : false, "suffix" : "" }, { "dropping-particle" : "", "family" : "Mundo-Rosas", "given" : "Ver\u00f3nica", "non-dropping-particle" : "", "parse-names" : false, "suffix" : "" }, { "dropping-particle" : "", "family" : "Jim\u00e9nez-Aguilar", "given" : "Alejandra", "non-dropping-particle" : "", "parse-names" : false, "suffix" : "" }, { "dropping-particle" : "", "family" : "Shamah-Levy", "given" : "Teresa", "non-dropping-particle" : "", "parse-names" : false, "suffix" : "" } ], "container-title" : "Salud P\u00fablica de M\u00e9xico", "id" : "ITEM-1", "issued" : { "date-parts" : [ [ "2009", "1" ] ] }, "page" : "S523-9", "title" : "Methodology for the analysis of dietary data from the Mexican National Health and Nutrition Survey 2006.", "type" : "article-journal", "volume" : "51 Suppl 4" }, "uris" : [ "http://www.mendeley.com/documents/?uuid=4e91d2f0-a023-4eae-85a5-6289f8f9151d" ] } ], "mendeley" : { "previouslyFormattedCitation" : "(Rodr\u00edguez-Ram\u00edrez et al., 2009)" }, "properties" : { "noteIndex" : 0 }, "schema" : "https://github.com/citation-style-language/schema/raw/master/csl-citation.json" }</w:instrText>
      </w:r>
      <w:r w:rsidRPr="005E7AA7">
        <w:rPr>
          <w:rFonts w:ascii="Garamond" w:hAnsi="Garamond" w:cs="Palatino"/>
          <w:color w:val="221E1F"/>
          <w:sz w:val="22"/>
          <w:szCs w:val="22"/>
        </w:rPr>
        <w:fldChar w:fldCharType="separate"/>
      </w:r>
      <w:r w:rsidRPr="005E7AA7">
        <w:rPr>
          <w:rFonts w:ascii="Garamond" w:hAnsi="Garamond" w:cs="Palatino"/>
          <w:noProof/>
          <w:color w:val="221E1F"/>
          <w:sz w:val="22"/>
          <w:szCs w:val="22"/>
        </w:rPr>
        <w:t>(Rodríguez-Ramírez et al., 2009)</w:t>
      </w:r>
      <w:r w:rsidRPr="005E7AA7">
        <w:rPr>
          <w:rFonts w:ascii="Garamond" w:hAnsi="Garamond" w:cs="Palatino"/>
          <w:color w:val="221E1F"/>
          <w:sz w:val="22"/>
          <w:szCs w:val="22"/>
        </w:rPr>
        <w:fldChar w:fldCharType="end"/>
      </w:r>
      <w:r w:rsidRPr="005E7AA7">
        <w:rPr>
          <w:rFonts w:ascii="Garamond" w:hAnsi="Garamond" w:cs="Palatino"/>
          <w:color w:val="221E1F"/>
          <w:sz w:val="22"/>
          <w:szCs w:val="22"/>
        </w:rPr>
        <w:t>.</w:t>
      </w:r>
      <w:r w:rsidR="00FD179C" w:rsidRPr="005E7AA7">
        <w:rPr>
          <w:rFonts w:ascii="Garamond" w:hAnsi="Garamond" w:cs="Palatino"/>
          <w:color w:val="221E1F"/>
          <w:sz w:val="22"/>
          <w:szCs w:val="22"/>
        </w:rPr>
        <w:t xml:space="preserve"> </w:t>
      </w:r>
      <w:r w:rsidR="00FD179C" w:rsidRPr="005E7AA7">
        <w:rPr>
          <w:rFonts w:ascii="Garamond" w:hAnsi="Garamond"/>
          <w:sz w:val="22"/>
          <w:szCs w:val="22"/>
          <w:lang w:val="en-US"/>
        </w:rPr>
        <w:t xml:space="preserve">This allowed for the estimation of intakes of specific nutrients. </w:t>
      </w:r>
    </w:p>
    <w:p w:rsidR="00DA6340" w:rsidRPr="005E7AA7" w:rsidRDefault="00DA6340" w:rsidP="005E7AA7">
      <w:pPr>
        <w:rPr>
          <w:rFonts w:ascii="Garamond" w:hAnsi="Garamond"/>
          <w:sz w:val="22"/>
          <w:szCs w:val="22"/>
          <w:lang w:val="en-US"/>
        </w:rPr>
      </w:pPr>
      <w:r w:rsidRPr="005E7AA7">
        <w:rPr>
          <w:rFonts w:ascii="Garamond" w:hAnsi="Garamond"/>
          <w:sz w:val="22"/>
          <w:szCs w:val="22"/>
          <w:lang w:val="en-US"/>
        </w:rPr>
        <w:t xml:space="preserve">The findings for 5-11 years old children of the lower socioeconomic status (SES) were that total energy intake was </w:t>
      </w:r>
      <w:r w:rsidR="00FD179C" w:rsidRPr="005E7AA7">
        <w:rPr>
          <w:rFonts w:ascii="Garamond" w:hAnsi="Garamond"/>
          <w:sz w:val="22"/>
          <w:szCs w:val="22"/>
          <w:lang w:val="en-US"/>
        </w:rPr>
        <w:t xml:space="preserve">only </w:t>
      </w:r>
      <w:r w:rsidRPr="005E7AA7">
        <w:rPr>
          <w:rFonts w:ascii="Garamond" w:hAnsi="Garamond"/>
          <w:sz w:val="22"/>
          <w:szCs w:val="22"/>
          <w:lang w:val="en-US"/>
        </w:rPr>
        <w:t xml:space="preserve">81% of requirement and that there were inadequate intakes of vitamin A, folates, </w:t>
      </w:r>
      <w:proofErr w:type="spellStart"/>
      <w:r w:rsidRPr="005E7AA7">
        <w:rPr>
          <w:rFonts w:ascii="Garamond" w:hAnsi="Garamond"/>
          <w:sz w:val="22"/>
          <w:szCs w:val="22"/>
          <w:lang w:val="en-US"/>
        </w:rPr>
        <w:t>heme</w:t>
      </w:r>
      <w:proofErr w:type="spellEnd"/>
      <w:r w:rsidRPr="005E7AA7">
        <w:rPr>
          <w:rFonts w:ascii="Garamond" w:hAnsi="Garamond"/>
          <w:sz w:val="22"/>
          <w:szCs w:val="22"/>
          <w:lang w:val="en-US"/>
        </w:rPr>
        <w:t xml:space="preserve"> iron, zinc, and calcium </w:t>
      </w:r>
      <w:r w:rsidRPr="005E7AA7">
        <w:rPr>
          <w:rFonts w:ascii="Garamond" w:hAnsi="Garamond"/>
          <w:sz w:val="22"/>
          <w:szCs w:val="22"/>
          <w:lang w:val="en-US"/>
        </w:rPr>
        <w:fldChar w:fldCharType="begin" w:fldLock="1"/>
      </w:r>
      <w:r w:rsidR="00033477" w:rsidRPr="005E7AA7">
        <w:rPr>
          <w:rFonts w:ascii="Garamond" w:hAnsi="Garamond"/>
          <w:sz w:val="22"/>
          <w:szCs w:val="22"/>
          <w:lang w:val="en-US"/>
        </w:rPr>
        <w:instrText>ADDIN CSL_CITATION { "citationItems" : [ { "id" : "ITEM-1", "itemData" : { "author" : [ { "dropping-particle" : "", "family" : "Instituto Nacional de Salud P\u00fablica", "given" : "", "non-dropping-particle" : "", "parse-names" : false, "suffix" : "" } ], "id" : "ITEM-1", "issued" : { "date-parts" : [ [ "2007" ] ] }, "publisher-place" : "Cuernavaca, M\u00e9xico", "title" : "Encuesta Nacional de Salud y Nutrici\u00f3n 2006. Resultados por entidad federativa, Yucat\u00e1n.", "type" : "report" }, "uris" : [ "http://www.mendeley.com/documents/?uuid=146ca59f-1149-4bff-b496-416ff3c4e653" ] } ], "mendeley" : { "previouslyFormattedCitation" : "(Instituto Nacional de Salud P\u00fablica, 2007)" }, "properties" : { "noteIndex" : 0 }, "schema" : "https://github.com/citation-style-language/schema/raw/master/csl-citation.json" }</w:instrText>
      </w:r>
      <w:r w:rsidRPr="005E7AA7">
        <w:rPr>
          <w:rFonts w:ascii="Garamond" w:hAnsi="Garamond"/>
          <w:sz w:val="22"/>
          <w:szCs w:val="22"/>
          <w:lang w:val="en-US"/>
        </w:rPr>
        <w:fldChar w:fldCharType="separate"/>
      </w:r>
      <w:r w:rsidRPr="005E7AA7">
        <w:rPr>
          <w:rFonts w:ascii="Garamond" w:hAnsi="Garamond"/>
          <w:noProof/>
          <w:sz w:val="22"/>
          <w:szCs w:val="22"/>
          <w:lang w:val="en-US"/>
        </w:rPr>
        <w:t>(Instituto Nacional de Salud Pública, 2007)</w:t>
      </w:r>
      <w:r w:rsidRPr="005E7AA7">
        <w:rPr>
          <w:rFonts w:ascii="Garamond" w:hAnsi="Garamond"/>
          <w:sz w:val="22"/>
          <w:szCs w:val="22"/>
          <w:lang w:val="en-US"/>
        </w:rPr>
        <w:fldChar w:fldCharType="end"/>
      </w:r>
      <w:r w:rsidRPr="005E7AA7">
        <w:rPr>
          <w:rFonts w:ascii="Garamond" w:hAnsi="Garamond"/>
          <w:sz w:val="22"/>
          <w:szCs w:val="22"/>
          <w:lang w:val="en-US"/>
        </w:rPr>
        <w:t xml:space="preserve">. These estimates are for the whole of the Yucatan region, both rural areas as well as all of the city of Merida, and for children from all low SES families, not only Maya families. Another FFQ study based on further analysis of the Mexican National Health and Nutrition Survey data of 2006 plus a sample of 126 children from impoverished Yucatan families found nearly identical results </w:t>
      </w:r>
      <w:r w:rsidRPr="005E7AA7">
        <w:rPr>
          <w:rFonts w:ascii="Garamond" w:hAnsi="Garamond"/>
          <w:sz w:val="22"/>
          <w:szCs w:val="22"/>
          <w:lang w:val="en-US"/>
        </w:rPr>
        <w:fldChar w:fldCharType="begin" w:fldLock="1"/>
      </w:r>
      <w:r w:rsidR="00033477" w:rsidRPr="005E7AA7">
        <w:rPr>
          <w:rFonts w:ascii="Garamond" w:hAnsi="Garamond"/>
          <w:sz w:val="22"/>
          <w:szCs w:val="22"/>
          <w:lang w:val="en-US"/>
        </w:rPr>
        <w:instrText>ADDIN CSL_CITATION { "citationItems" : [ { "id" : "ITEM-1", "itemData" : { "DOI" : "10.3109/03014460.2013.824024", "ISSN" : "1464-5033", "PMID" : "23992150", "abstract" : "Abstract Background: The National Health and Nutrition Survey 2006 (ENSANUT in Spanish) reported high rates of under-nutrition in children of Yucatan. Is food intake the main cause of under-nutrition in children of the state of Yucatan, Mexico? Aim: Identify the primary causes of under-nutrition in pre-school children in Yucatan. Subjects: A sample of 111 children (59 girls and 52 boys) aged 1-4 years representing Yucatan was taken from a database of ENSANUT 2006 and another national survey, a federal poverty mitigation programme for the state of Yucatan, Mexico entitled \"Oportunidades\". Methods: A human ecology approach together with life history theory was used to analyse anthropometric indices and food intake data from the ENSANUT 2006 and \"Oportunidades\". Results: Height and weight were significantly correlated to age and total food intake. No correlations were found between age and anthropometric indices or food intake rates. The children in the sample had adequate protein intake but deficient energy intake. No correlation was identified between nutritional status and food intake rates. Pre-schoolers with higher weight-for-height values achieved greater height-for-age. These relationships can be explained by life history theory in that energy intake was used either for maintenance (combating and recovering from infections) or growth. Conclusion: The poor relationship between food intake rates and nutritional status is probably explained by the interaction between high disease incidence and insufficient energy intake. These conditions are endemic in Yucatan due to widespread poor housing, water and sanitation conditions.", "author" : [ { "dropping-particle" : "", "family" : "Cuanalo de la Cerda", "given" : "Heriberto E", "non-dropping-particle" : "", "parse-names" : false, "suffix" : "" }, { "dropping-particle" : "", "family" : "Ochoa Estrada", "given" : "Ernesto", "non-dropping-particle" : "", "parse-names" : false, "suffix" : "" }, { "dropping-particle" : "", "family" : "Tuz Poot", "given" : "Felipe R", "non-dropping-particle" : "", "parse-names" : false, "suffix" : "" }, { "dropping-particle" : "", "family" : "Datta Banik", "given" : "Sudip", "non-dropping-particle" : "", "parse-names" : false, "suffix" : "" } ], "container-title" : "Annals of human biology", "id" : "ITEM-1", "issue" : "1", "issued" : { "date-parts" : [ [ "2014", "1" ] ] }, "page" : "46-52", "title" : "Food intake and nutrition in children 1-4 years of age in Yucatan, Mexico.", "type" : "article-journal", "volume" : "41" }, "uris" : [ "http://www.mendeley.com/documents/?uuid=e94ef6d3-dc20-4659-9611-9e6d05a52617" ] } ], "mendeley" : { "previouslyFormattedCitation" : "(Cuanalo de la Cerda et al., 2014)" }, "properties" : { "noteIndex" : 0 }, "schema" : "https://github.com/citation-style-language/schema/raw/master/csl-citation.json" }</w:instrText>
      </w:r>
      <w:r w:rsidRPr="005E7AA7">
        <w:rPr>
          <w:rFonts w:ascii="Garamond" w:hAnsi="Garamond"/>
          <w:sz w:val="22"/>
          <w:szCs w:val="22"/>
          <w:lang w:val="en-US"/>
        </w:rPr>
        <w:fldChar w:fldCharType="separate"/>
      </w:r>
      <w:r w:rsidRPr="005E7AA7">
        <w:rPr>
          <w:rFonts w:ascii="Garamond" w:hAnsi="Garamond"/>
          <w:noProof/>
          <w:sz w:val="22"/>
          <w:szCs w:val="22"/>
          <w:lang w:val="en-US"/>
        </w:rPr>
        <w:t>(Cuanalo de la Cerda et al., 2014)</w:t>
      </w:r>
      <w:r w:rsidRPr="005E7AA7">
        <w:rPr>
          <w:rFonts w:ascii="Garamond" w:hAnsi="Garamond"/>
          <w:sz w:val="22"/>
          <w:szCs w:val="22"/>
          <w:lang w:val="en-US"/>
        </w:rPr>
        <w:fldChar w:fldCharType="end"/>
      </w:r>
      <w:r w:rsidRPr="005E7AA7">
        <w:rPr>
          <w:rFonts w:ascii="Garamond" w:hAnsi="Garamond"/>
          <w:sz w:val="22"/>
          <w:szCs w:val="22"/>
          <w:lang w:val="en-US"/>
        </w:rPr>
        <w:t>.</w:t>
      </w:r>
    </w:p>
    <w:p w:rsidR="000F5D5A" w:rsidRPr="005E7AA7" w:rsidRDefault="00551B6F" w:rsidP="00F72489">
      <w:pPr>
        <w:rPr>
          <w:rFonts w:ascii="Garamond" w:hAnsi="Garamond"/>
          <w:sz w:val="22"/>
          <w:szCs w:val="22"/>
          <w:lang w:val="en-US"/>
        </w:rPr>
      </w:pPr>
      <w:r w:rsidRPr="005E7AA7">
        <w:rPr>
          <w:rFonts w:ascii="Garamond" w:hAnsi="Garamond"/>
          <w:sz w:val="22"/>
          <w:szCs w:val="22"/>
          <w:lang w:val="en-US"/>
        </w:rPr>
        <w:t>The globalized diet of the Maya</w:t>
      </w:r>
    </w:p>
    <w:p w:rsidR="00FD6A9E" w:rsidRPr="005E7AA7" w:rsidRDefault="00764587" w:rsidP="005E7AA7">
      <w:pPr>
        <w:rPr>
          <w:rFonts w:ascii="Garamond" w:hAnsi="Garamond"/>
          <w:bCs/>
          <w:sz w:val="22"/>
          <w:szCs w:val="22"/>
          <w:lang w:val="en-US"/>
        </w:rPr>
      </w:pPr>
      <w:r w:rsidRPr="005E7AA7">
        <w:rPr>
          <w:rFonts w:ascii="Garamond" w:hAnsi="Garamond"/>
          <w:bCs/>
          <w:sz w:val="22"/>
          <w:szCs w:val="22"/>
          <w:lang w:val="en-US"/>
        </w:rPr>
        <w:t xml:space="preserve">The diet of the Maya mothers and children of our sample is typical of diets of low socioeconomic status (SES) groups in urban areas that have </w:t>
      </w:r>
      <w:r w:rsidR="00B91E31" w:rsidRPr="005E7AA7">
        <w:rPr>
          <w:rFonts w:ascii="Garamond" w:hAnsi="Garamond"/>
          <w:bCs/>
          <w:sz w:val="22"/>
          <w:szCs w:val="22"/>
          <w:lang w:val="en-US"/>
        </w:rPr>
        <w:t>experienced the effects of</w:t>
      </w:r>
      <w:r w:rsidRPr="005E7AA7">
        <w:rPr>
          <w:rFonts w:ascii="Garamond" w:hAnsi="Garamond"/>
          <w:bCs/>
          <w:sz w:val="22"/>
          <w:szCs w:val="22"/>
          <w:lang w:val="en-US"/>
        </w:rPr>
        <w:t xml:space="preserve"> </w:t>
      </w:r>
      <w:r w:rsidR="00F32644" w:rsidRPr="005E7AA7">
        <w:rPr>
          <w:rFonts w:ascii="Garamond" w:hAnsi="Garamond"/>
          <w:bCs/>
          <w:sz w:val="22"/>
          <w:szCs w:val="22"/>
          <w:lang w:val="en-US"/>
        </w:rPr>
        <w:t>globaliz</w:t>
      </w:r>
      <w:r w:rsidR="00B91E31" w:rsidRPr="005E7AA7">
        <w:rPr>
          <w:rFonts w:ascii="Garamond" w:hAnsi="Garamond"/>
          <w:bCs/>
          <w:sz w:val="22"/>
          <w:szCs w:val="22"/>
          <w:lang w:val="en-US"/>
        </w:rPr>
        <w:t>ation</w:t>
      </w:r>
      <w:r w:rsidRPr="005E7AA7">
        <w:rPr>
          <w:rFonts w:ascii="Garamond" w:hAnsi="Garamond"/>
          <w:bCs/>
          <w:sz w:val="22"/>
          <w:szCs w:val="22"/>
          <w:lang w:val="en-US"/>
        </w:rPr>
        <w:t xml:space="preserve">. </w:t>
      </w:r>
      <w:r w:rsidR="00B91E31" w:rsidRPr="005E7AA7">
        <w:rPr>
          <w:rFonts w:ascii="Garamond" w:hAnsi="Garamond"/>
          <w:bCs/>
          <w:sz w:val="22"/>
          <w:szCs w:val="22"/>
          <w:lang w:val="en-US"/>
        </w:rPr>
        <w:t>Compared with rural diets</w:t>
      </w:r>
      <w:r w:rsidR="000B6413" w:rsidRPr="005E7AA7">
        <w:rPr>
          <w:rFonts w:ascii="Garamond" w:hAnsi="Garamond"/>
          <w:bCs/>
          <w:sz w:val="22"/>
          <w:szCs w:val="22"/>
          <w:lang w:val="en-US"/>
        </w:rPr>
        <w:t xml:space="preserve"> of Maya villagers surveys in the 1950s-1960s </w:t>
      </w:r>
      <w:r w:rsidR="000B6413"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"ISBN" : "968-496-609-1", "author" : [ { "dropping-particle" : "", "family" : "Bonfil Batalla", "given" : "Guillermo", "non-dropping-particle" : "", "parse-names" : false, "suffix" : "" } ], "id" : "ITEM-1", "issued" : { "date-parts" : [ [ "2006" ] ] }, "page" : "243", "publisher" : "Centro de Investigaciones y Estudios Superiores en Antropolog\u00eda Social, Universidad Aut\u00f3noma Metropolitana: Universidad Iberoam\u00e9ricana", "publisher-place" : "Mexico, D.F.", "title" : "Diagn\u00f3stico sobre el hambre en Sudzal, Yucat\u00e1n: un ensayo de antropolog\u00eda aplicada", "type" : "book" }, "uris" : [ "http://www.mendeley.com/documents/?uuid=4b5ece8e-cdcf-4343-a8ef-12a460e6918e" ] }, { "id" : "ITEM-2", "itemData" : { "ISSN" : "0379-5721", "PMID" : "19227052", "abstract" : "BACKGROUND: Food patterns of population groups change and adapt under the influence of several factors, including those related to globalization, urbanization, and the nutrition transition. OBJECTIVE: To document changes in food consumption and dietary patterns of Guatemalans, based on food surveys from the middle of the 20th century and the beginning of the 21st century. METHODS: We accessed archival dietary data from surveys conducted in nine rural or semirural traditional Guatemalan communities in the 1950s and from two studies of nonindigenous Guatemalans and Guatemalans of Mayan descent conducted after 1998. The total number and types of food items and the nutrient intakes from the two eras were compared. RESULTS: We identified 210 distinct food items across time, including 108 items consumed in traditional indigenous and nonindigenous Guatemalan communities (\"old\" foods), of which 72% were still consumed by nonindigenous Guatemalans and 76% were still consumed by Mayan Guatemalans. Processed foods represented only 11% of the items consumed in traditional Guatemalan communities but 30% of those consumed by nonindigenous Guatemalans and 25% of those consumed by Mayan Guatemalans. The proportions of carbohydrates, fats, and proteins as percentages of total energy were 79:9:12 among traditional Guatemalan communities, 67:20:13 among nonindigenous Guatemalans, and 61:27:12 among Mayan Guatemalans. CONCLUSIONS: Changes in Guatemalan food patterns and in nutrient intakes are marked by increased food variety, at the expense of reduction in the consumption of nutrient-dense foods and increase in the consumption of processed foods. Such changes are consistent with those observed in other societies, where a combination of forces associated with demographic, epidemiologic, and nutritional transitions is occurring within the dynamics of urbanization and globalization phenomena that characterize contemporary times.", "author" : [ { "dropping-particle" : "", "family" : "Bermudez", "given" : "Odilia I", "non-dropping-particle" : "", "parse-names" : false, "suffix" : "" }, { "dropping-particle" : "", "family" : "Hernandez", "given" : "Liza", "non-dropping-particle" : "", "parse-names" : false, "suffix" : "" }, { "dropping-particle" : "", "family" : "Mazariegos", "given" : "Manolo", "non-dropping-particle" : "", "parse-names" : false, "suffix" : "" }, { "dropping-particle" : "", "family" : "Solomons", "given" : "Noel W", "non-dropping-particle" : "", "parse-names" : false, "suffix" : "" } ], "container-title" : "Food and nutrition bulletin", "id" : "ITEM-2", "issue" : "4", "issued" : { "date-parts" : [ [ "2008", "12" ] ] }, "page" : "278-87", "title" : "Secular trends in food patterns of Guatemalan consumers: new foods for old.", "type" : "article-journal", "volume" : "29" }, "uris" : [ "http://www.mendeley.com/documents/?uuid=775f46f9-d455-4b88-867f-ebf68d5cd20d" ] }, { "id" : "ITEM-3", "itemData" : { "ISBN" : "0199738149", "author" : [ { "dropping-particle" : "", "family" : "Bogin", "given" : "Barry", "non-dropping-particle" : "", "parse-names" : false, "suffix" : "" } ], "chapter-number" : "27", "container-title" : "Nutritional Anthropology: Biocultural Perspectives on Food and Nutrition", "edition" : "Second", "editor" : [ { "dropping-particle" : "", "family" : "Dufour", "given" : "Darna L.", "non-dropping-particle" : "", "parse-names" : false, "suffix" : "" }, { "dropping-particle" : "", "family" : "Goodman", "given" : "Alan H.", "non-dropping-particle" : "", "parse-names" : false, "suffix" : "" }, { "dropping-particle" : "", "family" : "Pelto", "given" : "Gretel H.", "non-dropping-particle" : "", "parse-names" : false, "suffix" : "" } ], "id" : "ITEM-3", "issued" : { "date-parts" : [ [ "2013" ] ] }, "page" : "231-244", "publisher" : "Oxford University Press", "publisher-place" : "Oxford", "title" : "The Maya in Disneyland: Child Growth as a Marker of Nutritional, Economic, and Political Ecology", "type" : "chapter" }, "uris" : [ "http://www.mendeley.com/documents/?uuid=6d493b72-3f6d-4e58-8a8c-0d1c2ecad13a" ] } ], "mendeley" : { "previouslyFormattedCitation" : "(Bonfil Batalla, 2006; Bermudez et al., 2008; Bogin, 2013)" }, "properties" : { "noteIndex" : 0 }, "schema" : "https://github.com/citation-style-language/schema/raw/master/csl-citation.json" }</w:instrText>
      </w:r>
      <w:r w:rsidR="000B6413" w:rsidRPr="005E7AA7">
        <w:rPr>
          <w:rFonts w:ascii="Garamond" w:hAnsi="Garamond"/>
          <w:bCs/>
          <w:sz w:val="22"/>
          <w:szCs w:val="22"/>
          <w:lang w:val="en-US"/>
        </w:rPr>
        <w:fldChar w:fldCharType="separate"/>
      </w:r>
      <w:r w:rsidR="000B6413" w:rsidRPr="005E7AA7">
        <w:rPr>
          <w:rFonts w:ascii="Garamond" w:hAnsi="Garamond"/>
          <w:bCs/>
          <w:noProof/>
          <w:sz w:val="22"/>
          <w:szCs w:val="22"/>
          <w:lang w:val="en-US"/>
        </w:rPr>
        <w:t>(Bonfil Batalla, 2006; Bermudez et al., 2008; Bogin, 2013)</w:t>
      </w:r>
      <w:r w:rsidR="000B6413" w:rsidRPr="005E7AA7">
        <w:rPr>
          <w:rFonts w:ascii="Garamond" w:hAnsi="Garamond"/>
          <w:bCs/>
          <w:sz w:val="22"/>
          <w:szCs w:val="22"/>
          <w:lang w:val="en-US"/>
        </w:rPr>
        <w:fldChar w:fldCharType="end"/>
      </w:r>
      <w:r w:rsidR="000B6413" w:rsidRPr="005E7AA7">
        <w:rPr>
          <w:rFonts w:ascii="Garamond" w:hAnsi="Garamond"/>
          <w:bCs/>
          <w:sz w:val="22"/>
          <w:szCs w:val="22"/>
          <w:lang w:val="en-US"/>
        </w:rPr>
        <w:t xml:space="preserve"> o</w:t>
      </w:r>
      <w:r w:rsidRPr="005E7AA7">
        <w:rPr>
          <w:rFonts w:ascii="Garamond" w:hAnsi="Garamond"/>
          <w:bCs/>
          <w:sz w:val="22"/>
          <w:szCs w:val="22"/>
          <w:lang w:val="en-US"/>
        </w:rPr>
        <w:t xml:space="preserve">ur </w:t>
      </w:r>
      <w:r w:rsidR="000B6413" w:rsidRPr="005E7AA7">
        <w:rPr>
          <w:rFonts w:ascii="Garamond" w:hAnsi="Garamond"/>
          <w:bCs/>
          <w:sz w:val="22"/>
          <w:szCs w:val="22"/>
          <w:lang w:val="en-US"/>
        </w:rPr>
        <w:t xml:space="preserve">Merida </w:t>
      </w:r>
      <w:r w:rsidRPr="005E7AA7">
        <w:rPr>
          <w:rFonts w:ascii="Garamond" w:hAnsi="Garamond"/>
          <w:bCs/>
          <w:sz w:val="22"/>
          <w:szCs w:val="22"/>
          <w:lang w:val="en-US"/>
        </w:rPr>
        <w:t>Maya sample has undergone a</w:t>
      </w:r>
      <w:r w:rsidR="00F32644" w:rsidRPr="005E7AA7">
        <w:rPr>
          <w:rFonts w:ascii="Garamond" w:hAnsi="Garamond"/>
          <w:bCs/>
          <w:sz w:val="22"/>
          <w:szCs w:val="22"/>
          <w:lang w:val="en-US"/>
        </w:rPr>
        <w:t xml:space="preserve"> nutritional transition,</w:t>
      </w:r>
      <w:r w:rsidR="00F32644" w:rsidRPr="005E7AA7">
        <w:rPr>
          <w:rFonts w:ascii="Garamond" w:hAnsi="Garamond"/>
          <w:sz w:val="22"/>
          <w:szCs w:val="22"/>
          <w:lang w:val="en-US"/>
        </w:rPr>
        <w:t xml:space="preserve"> </w:t>
      </w:r>
      <w:r w:rsidRPr="005E7AA7">
        <w:rPr>
          <w:rFonts w:ascii="Garamond" w:hAnsi="Garamond"/>
          <w:sz w:val="22"/>
          <w:szCs w:val="22"/>
          <w:lang w:val="en-US"/>
        </w:rPr>
        <w:t xml:space="preserve">with a shift from </w:t>
      </w:r>
      <w:r w:rsidR="00F32644" w:rsidRPr="005E7AA7">
        <w:rPr>
          <w:rFonts w:ascii="Garamond" w:hAnsi="Garamond"/>
          <w:sz w:val="22"/>
          <w:szCs w:val="22"/>
          <w:lang w:val="en-US"/>
        </w:rPr>
        <w:t>locally-grown </w:t>
      </w:r>
      <w:r w:rsidRPr="005E7AA7">
        <w:rPr>
          <w:rFonts w:ascii="Garamond" w:hAnsi="Garamond"/>
          <w:sz w:val="22"/>
          <w:szCs w:val="22"/>
          <w:lang w:val="en-US"/>
        </w:rPr>
        <w:t>foods</w:t>
      </w:r>
      <w:r w:rsidR="00F32644" w:rsidRPr="005E7AA7">
        <w:rPr>
          <w:rFonts w:ascii="Garamond" w:hAnsi="Garamond"/>
          <w:sz w:val="22"/>
          <w:szCs w:val="22"/>
          <w:lang w:val="en-US"/>
        </w:rPr>
        <w:t xml:space="preserve"> </w:t>
      </w:r>
      <w:r w:rsidR="00A6580A" w:rsidRPr="005E7AA7">
        <w:rPr>
          <w:rFonts w:ascii="Garamond" w:hAnsi="Garamond"/>
          <w:sz w:val="22"/>
          <w:szCs w:val="22"/>
          <w:lang w:val="en-US"/>
        </w:rPr>
        <w:t>high in fiber and low in fats</w:t>
      </w:r>
      <w:r w:rsidR="00F32644" w:rsidRPr="005E7AA7">
        <w:rPr>
          <w:rFonts w:ascii="Garamond" w:hAnsi="Garamond"/>
          <w:sz w:val="22"/>
          <w:szCs w:val="22"/>
          <w:lang w:val="en-US"/>
        </w:rPr>
        <w:t xml:space="preserve">, to the </w:t>
      </w:r>
      <w:r w:rsidR="00A6580A" w:rsidRPr="005E7AA7">
        <w:rPr>
          <w:rFonts w:ascii="Garamond" w:hAnsi="Garamond"/>
          <w:sz w:val="22"/>
          <w:szCs w:val="22"/>
          <w:lang w:val="en-US"/>
        </w:rPr>
        <w:t>global</w:t>
      </w:r>
      <w:r w:rsidR="00F32644" w:rsidRPr="005E7AA7">
        <w:rPr>
          <w:rFonts w:ascii="Garamond" w:hAnsi="Garamond"/>
          <w:sz w:val="22"/>
          <w:szCs w:val="22"/>
          <w:lang w:val="en-US"/>
        </w:rPr>
        <w:t xml:space="preserve"> diet of highly processed foods, high in saturated fat, animal products and sugar, and low in fib</w:t>
      </w:r>
      <w:r w:rsidR="000B6413" w:rsidRPr="005E7AA7">
        <w:rPr>
          <w:rFonts w:ascii="Garamond" w:hAnsi="Garamond"/>
          <w:sz w:val="22"/>
          <w:szCs w:val="22"/>
          <w:lang w:val="en-US"/>
        </w:rPr>
        <w:t>e</w:t>
      </w:r>
      <w:r w:rsidR="00F32644" w:rsidRPr="005E7AA7">
        <w:rPr>
          <w:rFonts w:ascii="Garamond" w:hAnsi="Garamond"/>
          <w:sz w:val="22"/>
          <w:szCs w:val="22"/>
          <w:lang w:val="en-US"/>
        </w:rPr>
        <w:t>r.</w:t>
      </w:r>
      <w:r w:rsidR="00F32644" w:rsidRPr="005E7AA7">
        <w:rPr>
          <w:rFonts w:ascii="Garamond" w:hAnsi="Garamond"/>
          <w:bCs/>
          <w:sz w:val="22"/>
          <w:szCs w:val="22"/>
          <w:lang w:val="en-US"/>
        </w:rPr>
        <w:t xml:space="preserve"> </w:t>
      </w:r>
      <w:r w:rsidR="000B6413" w:rsidRPr="005E7AA7">
        <w:rPr>
          <w:rFonts w:ascii="Garamond" w:hAnsi="Garamond"/>
          <w:sz w:val="22"/>
          <w:szCs w:val="22"/>
          <w:lang w:val="en-US"/>
        </w:rPr>
        <w:t xml:space="preserve">In the </w:t>
      </w:r>
      <w:r w:rsidR="00BD4D11" w:rsidRPr="005E7AA7">
        <w:rPr>
          <w:rFonts w:ascii="Garamond" w:hAnsi="Garamond"/>
          <w:sz w:val="22"/>
          <w:szCs w:val="22"/>
          <w:lang w:val="en-US"/>
        </w:rPr>
        <w:t xml:space="preserve">traditional </w:t>
      </w:r>
      <w:r w:rsidR="000B6413" w:rsidRPr="005E7AA7">
        <w:rPr>
          <w:rFonts w:ascii="Garamond" w:hAnsi="Garamond"/>
          <w:sz w:val="22"/>
          <w:szCs w:val="22"/>
          <w:lang w:val="en-US"/>
        </w:rPr>
        <w:t>rural villages</w:t>
      </w:r>
      <w:r w:rsidR="00A6580A" w:rsidRPr="005E7AA7">
        <w:rPr>
          <w:rFonts w:ascii="Garamond" w:hAnsi="Garamond"/>
          <w:sz w:val="22"/>
          <w:szCs w:val="22"/>
          <w:lang w:val="en-US"/>
        </w:rPr>
        <w:t xml:space="preserve"> </w:t>
      </w:r>
      <w:r w:rsidR="00BD4D11" w:rsidRPr="005E7AA7">
        <w:rPr>
          <w:rFonts w:ascii="Garamond" w:hAnsi="Garamond"/>
          <w:sz w:val="22"/>
          <w:szCs w:val="22"/>
          <w:lang w:val="en-US"/>
        </w:rPr>
        <w:t>of the middle 20</w:t>
      </w:r>
      <w:r w:rsidR="00BD4D11" w:rsidRPr="005E7AA7">
        <w:rPr>
          <w:rFonts w:ascii="Garamond" w:hAnsi="Garamond"/>
          <w:sz w:val="22"/>
          <w:szCs w:val="22"/>
          <w:vertAlign w:val="superscript"/>
          <w:lang w:val="en-US"/>
        </w:rPr>
        <w:t>th</w:t>
      </w:r>
      <w:r w:rsidR="00BD4D11" w:rsidRPr="005E7AA7">
        <w:rPr>
          <w:rFonts w:ascii="Garamond" w:hAnsi="Garamond"/>
          <w:sz w:val="22"/>
          <w:szCs w:val="22"/>
          <w:lang w:val="en-US"/>
        </w:rPr>
        <w:t xml:space="preserve"> Century, </w:t>
      </w:r>
      <w:r w:rsidR="00A6580A" w:rsidRPr="005E7AA7">
        <w:rPr>
          <w:rFonts w:ascii="Garamond" w:hAnsi="Garamond"/>
          <w:sz w:val="22"/>
          <w:szCs w:val="22"/>
          <w:lang w:val="en-US"/>
        </w:rPr>
        <w:t xml:space="preserve">Maya health was not very good </w:t>
      </w:r>
      <w:r w:rsidR="00F32644" w:rsidRPr="005E7AA7">
        <w:rPr>
          <w:rFonts w:ascii="Garamond" w:hAnsi="Garamond"/>
          <w:sz w:val="22"/>
          <w:szCs w:val="22"/>
          <w:lang w:val="en-US"/>
        </w:rPr>
        <w:t>a</w:t>
      </w:r>
      <w:r w:rsidR="00A6580A" w:rsidRPr="005E7AA7">
        <w:rPr>
          <w:rFonts w:ascii="Garamond" w:hAnsi="Garamond"/>
          <w:sz w:val="22"/>
          <w:szCs w:val="22"/>
          <w:lang w:val="en-US"/>
        </w:rPr>
        <w:t xml:space="preserve">s evidenced by stunting </w:t>
      </w:r>
      <w:r w:rsidR="000B6413" w:rsidRPr="005E7AA7">
        <w:rPr>
          <w:rFonts w:ascii="Garamond" w:hAnsi="Garamond"/>
          <w:sz w:val="22"/>
          <w:szCs w:val="22"/>
          <w:lang w:val="en-US"/>
        </w:rPr>
        <w:t>a</w:t>
      </w:r>
      <w:r w:rsidR="00A6580A" w:rsidRPr="005E7AA7">
        <w:rPr>
          <w:rFonts w:ascii="Garamond" w:hAnsi="Garamond"/>
          <w:sz w:val="22"/>
          <w:szCs w:val="22"/>
          <w:lang w:val="en-US"/>
        </w:rPr>
        <w:t>nd</w:t>
      </w:r>
      <w:r w:rsidR="000B6413" w:rsidRPr="005E7AA7">
        <w:rPr>
          <w:rFonts w:ascii="Garamond" w:hAnsi="Garamond"/>
          <w:sz w:val="22"/>
          <w:szCs w:val="22"/>
          <w:lang w:val="en-US"/>
        </w:rPr>
        <w:t xml:space="preserve"> thinness. In Merida, with a globalized diet, health problems remain, as evidenced by short stature and</w:t>
      </w:r>
      <w:r w:rsidR="00A6580A" w:rsidRPr="005E7AA7">
        <w:rPr>
          <w:rFonts w:ascii="Garamond" w:hAnsi="Garamond"/>
          <w:sz w:val="22"/>
          <w:szCs w:val="22"/>
          <w:lang w:val="en-US"/>
        </w:rPr>
        <w:t xml:space="preserve"> obesity.</w:t>
      </w:r>
      <w:r w:rsidR="00A6580A" w:rsidRPr="005E7AA7">
        <w:rPr>
          <w:rFonts w:ascii="Garamond" w:hAnsi="Garamond"/>
          <w:bCs/>
          <w:sz w:val="22"/>
          <w:szCs w:val="22"/>
          <w:lang w:val="en-US"/>
        </w:rPr>
        <w:t xml:space="preserve"> </w:t>
      </w:r>
    </w:p>
    <w:p w:rsidR="00FD6A9E" w:rsidRPr="005E7AA7" w:rsidRDefault="003D4138" w:rsidP="005E7AA7">
      <w:pPr>
        <w:rPr>
          <w:rFonts w:ascii="Garamond" w:hAnsi="Garamond"/>
          <w:sz w:val="22"/>
          <w:szCs w:val="22"/>
          <w:lang w:val="en-US"/>
        </w:rPr>
      </w:pPr>
      <w:r w:rsidRPr="005E7AA7">
        <w:rPr>
          <w:rFonts w:ascii="Garamond" w:hAnsi="Garamond"/>
          <w:bCs/>
          <w:sz w:val="22"/>
          <w:szCs w:val="22"/>
          <w:lang w:val="en-US"/>
        </w:rPr>
        <w:t xml:space="preserve">There are some benefits associated with the nutrition transition. The Mexican </w:t>
      </w:r>
      <w:r w:rsidRPr="005E7AA7">
        <w:rPr>
          <w:rFonts w:ascii="Garamond" w:hAnsi="Garamond"/>
          <w:sz w:val="22"/>
          <w:szCs w:val="22"/>
          <w:lang w:val="en-US"/>
        </w:rPr>
        <w:t xml:space="preserve">National Health and Nutrition Survey of 2012 reports a decline in rates of stunting </w:t>
      </w:r>
      <w:r w:rsidR="00E13FE4" w:rsidRPr="005E7AA7">
        <w:rPr>
          <w:rFonts w:ascii="Garamond" w:hAnsi="Garamond"/>
          <w:sz w:val="22"/>
          <w:szCs w:val="22"/>
          <w:lang w:val="en-US"/>
        </w:rPr>
        <w:t xml:space="preserve">from 27.9% in 2006 to 15.8% in 2012 </w:t>
      </w:r>
      <w:r w:rsidRPr="005E7AA7">
        <w:rPr>
          <w:rFonts w:ascii="Garamond" w:hAnsi="Garamond"/>
          <w:sz w:val="22"/>
          <w:szCs w:val="22"/>
          <w:lang w:val="en-US"/>
        </w:rPr>
        <w:t>for 1-4 year old</w:t>
      </w:r>
      <w:r w:rsidR="00E13FE4" w:rsidRPr="005E7AA7">
        <w:rPr>
          <w:rFonts w:ascii="Garamond" w:hAnsi="Garamond"/>
          <w:sz w:val="22"/>
          <w:szCs w:val="22"/>
          <w:lang w:val="en-US"/>
        </w:rPr>
        <w:t>s</w:t>
      </w:r>
      <w:r w:rsidRPr="005E7AA7">
        <w:rPr>
          <w:rFonts w:ascii="Garamond" w:hAnsi="Garamond"/>
          <w:sz w:val="22"/>
          <w:szCs w:val="22"/>
          <w:lang w:val="en-US"/>
        </w:rPr>
        <w:t xml:space="preserve"> </w:t>
      </w:r>
      <w:r w:rsidR="00E13FE4" w:rsidRPr="005E7AA7">
        <w:rPr>
          <w:rFonts w:ascii="Garamond" w:hAnsi="Garamond"/>
          <w:sz w:val="22"/>
          <w:szCs w:val="22"/>
          <w:lang w:val="en-US"/>
        </w:rPr>
        <w:t>residing in urban Yucatan</w:t>
      </w:r>
      <w:r w:rsidRPr="005E7AA7">
        <w:rPr>
          <w:rFonts w:ascii="Garamond" w:hAnsi="Garamond"/>
          <w:sz w:val="22"/>
          <w:szCs w:val="22"/>
          <w:lang w:val="en-US"/>
        </w:rPr>
        <w:t xml:space="preserve">. </w:t>
      </w:r>
      <w:r w:rsidR="005B1D4E" w:rsidRPr="005E7AA7">
        <w:rPr>
          <w:rFonts w:ascii="Garamond" w:hAnsi="Garamond"/>
          <w:sz w:val="22"/>
          <w:szCs w:val="22"/>
          <w:lang w:val="en-US"/>
        </w:rPr>
        <w:t xml:space="preserve">This decline is explained, in part, by improvements in the health care system. These improvements include attention to </w:t>
      </w:r>
      <w:r w:rsidR="003F5FCC" w:rsidRPr="005E7AA7">
        <w:rPr>
          <w:rFonts w:ascii="Garamond" w:hAnsi="Garamond"/>
          <w:sz w:val="22"/>
          <w:szCs w:val="22"/>
          <w:lang w:val="en-US"/>
        </w:rPr>
        <w:t xml:space="preserve">preventative medical care. There was also investment to improve </w:t>
      </w:r>
      <w:r w:rsidR="005B1D4E" w:rsidRPr="005E7AA7">
        <w:rPr>
          <w:rFonts w:ascii="Garamond" w:hAnsi="Garamond"/>
          <w:sz w:val="22"/>
          <w:szCs w:val="22"/>
          <w:lang w:val="en-US"/>
        </w:rPr>
        <w:t xml:space="preserve">access to safe water, </w:t>
      </w:r>
      <w:r w:rsidR="003F5FCC" w:rsidRPr="005E7AA7">
        <w:rPr>
          <w:rFonts w:ascii="Garamond" w:hAnsi="Garamond"/>
          <w:sz w:val="22"/>
          <w:szCs w:val="22"/>
          <w:lang w:val="en-US"/>
        </w:rPr>
        <w:t xml:space="preserve">sanitary </w:t>
      </w:r>
      <w:r w:rsidR="005B1D4E" w:rsidRPr="005E7AA7">
        <w:rPr>
          <w:rFonts w:ascii="Garamond" w:hAnsi="Garamond"/>
          <w:sz w:val="22"/>
          <w:szCs w:val="22"/>
          <w:lang w:val="en-US"/>
        </w:rPr>
        <w:t xml:space="preserve">toilets and cement floors </w:t>
      </w:r>
      <w:r w:rsidR="003F5FCC" w:rsidRPr="005E7AA7">
        <w:rPr>
          <w:rFonts w:ascii="Garamond" w:hAnsi="Garamond"/>
          <w:sz w:val="22"/>
          <w:szCs w:val="22"/>
          <w:lang w:val="en-US"/>
        </w:rPr>
        <w:t>in low income family homes.</w:t>
      </w:r>
      <w:r w:rsidR="005B1D4E" w:rsidRPr="005E7AA7">
        <w:rPr>
          <w:rFonts w:ascii="Garamond" w:hAnsi="Garamond"/>
          <w:sz w:val="22"/>
          <w:szCs w:val="22"/>
          <w:lang w:val="en-US"/>
        </w:rPr>
        <w:t xml:space="preserve"> </w:t>
      </w:r>
      <w:r w:rsidR="003F5FCC" w:rsidRPr="005E7AA7">
        <w:rPr>
          <w:rFonts w:ascii="Garamond" w:hAnsi="Garamond"/>
          <w:sz w:val="22"/>
          <w:szCs w:val="22"/>
          <w:lang w:val="en-US"/>
        </w:rPr>
        <w:t>S</w:t>
      </w:r>
      <w:r w:rsidR="005B1D4E" w:rsidRPr="005E7AA7">
        <w:rPr>
          <w:rFonts w:ascii="Garamond" w:hAnsi="Garamond"/>
          <w:sz w:val="22"/>
          <w:szCs w:val="22"/>
          <w:lang w:val="en-US"/>
        </w:rPr>
        <w:t xml:space="preserve">ome </w:t>
      </w:r>
      <w:r w:rsidR="003F5FCC" w:rsidRPr="005E7AA7">
        <w:rPr>
          <w:rFonts w:ascii="Garamond" w:hAnsi="Garamond"/>
          <w:sz w:val="22"/>
          <w:szCs w:val="22"/>
          <w:lang w:val="en-US"/>
        </w:rPr>
        <w:t>of these public health benefits were</w:t>
      </w:r>
      <w:r w:rsidR="005B1D4E" w:rsidRPr="005E7AA7">
        <w:rPr>
          <w:rFonts w:ascii="Garamond" w:hAnsi="Garamond"/>
          <w:sz w:val="22"/>
          <w:szCs w:val="22"/>
          <w:lang w:val="en-US"/>
        </w:rPr>
        <w:t xml:space="preserve"> provided by the </w:t>
      </w:r>
      <w:proofErr w:type="spellStart"/>
      <w:r w:rsidR="005B1D4E" w:rsidRPr="005E7AA7">
        <w:rPr>
          <w:rFonts w:ascii="Garamond" w:hAnsi="Garamond"/>
          <w:i/>
          <w:sz w:val="22"/>
          <w:szCs w:val="22"/>
          <w:lang w:val="en-US"/>
        </w:rPr>
        <w:t>Oportunidades</w:t>
      </w:r>
      <w:proofErr w:type="spellEnd"/>
      <w:r w:rsidR="005B1D4E" w:rsidRPr="005E7AA7">
        <w:rPr>
          <w:rFonts w:ascii="Garamond" w:hAnsi="Garamond"/>
          <w:sz w:val="22"/>
          <w:szCs w:val="22"/>
          <w:lang w:val="en-US"/>
        </w:rPr>
        <w:t xml:space="preserve"> </w:t>
      </w:r>
      <w:r w:rsidR="00FD6A9E" w:rsidRPr="005E7AA7">
        <w:rPr>
          <w:rFonts w:ascii="Garamond" w:hAnsi="Garamond"/>
          <w:sz w:val="22"/>
          <w:szCs w:val="22"/>
          <w:lang w:val="en-US"/>
        </w:rPr>
        <w:t xml:space="preserve">(Opportunities) Program. </w:t>
      </w:r>
      <w:proofErr w:type="spellStart"/>
      <w:r w:rsidR="00FD6A9E" w:rsidRPr="005E7AA7">
        <w:rPr>
          <w:rFonts w:ascii="Garamond" w:hAnsi="Garamond"/>
          <w:i/>
          <w:sz w:val="22"/>
          <w:szCs w:val="22"/>
          <w:lang w:val="en-US"/>
        </w:rPr>
        <w:t>Oportunidades</w:t>
      </w:r>
      <w:proofErr w:type="spellEnd"/>
      <w:r w:rsidR="00FD6A9E" w:rsidRPr="005E7AA7">
        <w:rPr>
          <w:rFonts w:ascii="Garamond" w:hAnsi="Garamond"/>
          <w:i/>
          <w:sz w:val="22"/>
          <w:szCs w:val="22"/>
          <w:lang w:val="en-US"/>
        </w:rPr>
        <w:t xml:space="preserve"> </w:t>
      </w:r>
      <w:r w:rsidR="00433313" w:rsidRPr="005E7AA7">
        <w:rPr>
          <w:rFonts w:ascii="Garamond" w:hAnsi="Garamond"/>
          <w:sz w:val="22"/>
          <w:szCs w:val="22"/>
          <w:lang w:val="en-US"/>
        </w:rPr>
        <w:t xml:space="preserve">was initiated in1996 as a new program of political policy and practical intervention to prevent and reduce malnutrition </w:t>
      </w:r>
      <w:r w:rsidR="009A305F" w:rsidRPr="005E7AA7">
        <w:rPr>
          <w:rFonts w:ascii="Garamond" w:hAnsi="Garamond"/>
          <w:sz w:val="22"/>
          <w:szCs w:val="22"/>
          <w:lang w:val="en-US"/>
        </w:rPr>
        <w:fldChar w:fldCharType="begin" w:fldLock="1"/>
      </w:r>
      <w:r w:rsidR="00033477" w:rsidRPr="005E7AA7">
        <w:rPr>
          <w:rFonts w:ascii="Garamond" w:hAnsi="Garamond"/>
          <w:sz w:val="22"/>
          <w:szCs w:val="22"/>
          <w:lang w:val="en-US"/>
        </w:rPr>
        <w:instrText>ADDIN CSL_CITATION { "citationItems" : [ { "id" : "ITEM-1", "itemData" : { "author" : [ { "dropping-particle" : "", "family" : "Instituto Nacional de Salud P\u00fablica", "given" : "", "non-dropping-particle" : "", "parse-names" : false, "suffix" : "" } ], "id" : "ITEM-1", "issued" : { "date-parts" : [ [ "2007" ] ] }, "publisher-place" : "Cuernavaca, M\u00e9xico", "title" : "Encuesta Nacional de Salud y Nutrici\u00f3n 2006. Resultados por entidad federativa, Yucat\u00e1n.", "type" : "report" }, "uris" : [ "http://www.mendeley.com/documents/?uuid=146ca59f-1149-4bff-b496-416ff3c4e653" ] } ], "mendeley" : { "previouslyFormattedCitation" : "(Instituto Nacional de Salud P\u00fablica, 2007)" }, "properties" : { "noteIndex" : 0 }, "schema" : "https://github.com/citation-style-language/schema/raw/master/csl-citation.json" }</w:instrText>
      </w:r>
      <w:r w:rsidR="009A305F" w:rsidRPr="005E7AA7">
        <w:rPr>
          <w:rFonts w:ascii="Garamond" w:hAnsi="Garamond"/>
          <w:sz w:val="22"/>
          <w:szCs w:val="22"/>
          <w:lang w:val="en-US"/>
        </w:rPr>
        <w:fldChar w:fldCharType="separate"/>
      </w:r>
      <w:r w:rsidR="009A305F" w:rsidRPr="005E7AA7">
        <w:rPr>
          <w:rFonts w:ascii="Garamond" w:hAnsi="Garamond"/>
          <w:noProof/>
          <w:sz w:val="22"/>
          <w:szCs w:val="22"/>
          <w:lang w:val="en-US"/>
        </w:rPr>
        <w:t>(Instituto Nacional de Salud Pública, 2007)</w:t>
      </w:r>
      <w:r w:rsidR="009A305F" w:rsidRPr="005E7AA7">
        <w:rPr>
          <w:rFonts w:ascii="Garamond" w:hAnsi="Garamond"/>
          <w:sz w:val="22"/>
          <w:szCs w:val="22"/>
          <w:lang w:val="en-US"/>
        </w:rPr>
        <w:fldChar w:fldCharType="end"/>
      </w:r>
      <w:r w:rsidR="009A305F" w:rsidRPr="005E7AA7">
        <w:rPr>
          <w:rFonts w:ascii="Garamond" w:hAnsi="Garamond"/>
          <w:sz w:val="22"/>
          <w:szCs w:val="22"/>
          <w:lang w:val="en-US"/>
        </w:rPr>
        <w:t xml:space="preserve">. </w:t>
      </w:r>
      <w:r w:rsidR="00B41465" w:rsidRPr="005E7AA7">
        <w:rPr>
          <w:rFonts w:ascii="Garamond" w:hAnsi="Garamond"/>
          <w:sz w:val="22"/>
          <w:szCs w:val="22"/>
          <w:lang w:val="en-US"/>
        </w:rPr>
        <w:t xml:space="preserve">Nearly 40% of homes in the state of Yucatan received benefits from </w:t>
      </w:r>
      <w:proofErr w:type="spellStart"/>
      <w:r w:rsidR="00B41465" w:rsidRPr="005E7AA7">
        <w:rPr>
          <w:rFonts w:ascii="Garamond" w:hAnsi="Garamond"/>
          <w:i/>
          <w:sz w:val="22"/>
          <w:szCs w:val="22"/>
          <w:lang w:val="en-US"/>
        </w:rPr>
        <w:t>Oportunidades</w:t>
      </w:r>
      <w:proofErr w:type="spellEnd"/>
      <w:r w:rsidR="00B41465" w:rsidRPr="005E7AA7">
        <w:rPr>
          <w:rFonts w:ascii="Garamond" w:hAnsi="Garamond"/>
          <w:i/>
          <w:sz w:val="22"/>
          <w:szCs w:val="22"/>
          <w:lang w:val="en-US"/>
        </w:rPr>
        <w:t>.</w:t>
      </w:r>
    </w:p>
    <w:p w:rsidR="003D4138" w:rsidRPr="005E7AA7" w:rsidRDefault="003D4138" w:rsidP="005E7AA7">
      <w:pPr>
        <w:rPr>
          <w:rFonts w:ascii="Garamond" w:hAnsi="Garamond"/>
          <w:sz w:val="22"/>
          <w:szCs w:val="22"/>
          <w:lang w:val="en-US"/>
        </w:rPr>
      </w:pPr>
      <w:r w:rsidRPr="005E7AA7">
        <w:rPr>
          <w:rFonts w:ascii="Garamond" w:hAnsi="Garamond"/>
          <w:sz w:val="22"/>
          <w:szCs w:val="22"/>
          <w:lang w:val="en-US"/>
        </w:rPr>
        <w:t xml:space="preserve">The </w:t>
      </w:r>
      <w:r w:rsidR="00C64117" w:rsidRPr="005E7AA7">
        <w:rPr>
          <w:rFonts w:ascii="Garamond" w:hAnsi="Garamond"/>
          <w:sz w:val="22"/>
          <w:szCs w:val="22"/>
          <w:lang w:val="en-US"/>
        </w:rPr>
        <w:t>Mexi</w:t>
      </w:r>
      <w:r w:rsidR="00BD4D11" w:rsidRPr="005E7AA7">
        <w:rPr>
          <w:rFonts w:ascii="Garamond" w:hAnsi="Garamond"/>
          <w:sz w:val="22"/>
          <w:szCs w:val="22"/>
          <w:lang w:val="en-US"/>
        </w:rPr>
        <w:t xml:space="preserve">can National Health and Nutrition Survey of 2012 </w:t>
      </w:r>
      <w:r w:rsidRPr="005E7AA7">
        <w:rPr>
          <w:rFonts w:ascii="Garamond" w:hAnsi="Garamond"/>
          <w:sz w:val="22"/>
          <w:szCs w:val="22"/>
          <w:lang w:val="en-US"/>
        </w:rPr>
        <w:t xml:space="preserve">Survey also reports that </w:t>
      </w:r>
      <w:r w:rsidR="00BD4D11" w:rsidRPr="005E7AA7">
        <w:rPr>
          <w:rFonts w:ascii="Garamond" w:hAnsi="Garamond"/>
          <w:sz w:val="22"/>
          <w:szCs w:val="22"/>
          <w:lang w:val="en-US"/>
        </w:rPr>
        <w:t xml:space="preserve">since 2006, </w:t>
      </w:r>
      <w:r w:rsidRPr="005E7AA7">
        <w:rPr>
          <w:rFonts w:ascii="Garamond" w:hAnsi="Garamond"/>
          <w:sz w:val="22"/>
          <w:szCs w:val="22"/>
          <w:lang w:val="en-US"/>
        </w:rPr>
        <w:t>rates of overweight</w:t>
      </w:r>
      <w:r w:rsidR="00E13FE4" w:rsidRPr="005E7AA7">
        <w:rPr>
          <w:rFonts w:ascii="Garamond" w:hAnsi="Garamond"/>
          <w:sz w:val="22"/>
          <w:szCs w:val="22"/>
          <w:lang w:val="en-US"/>
        </w:rPr>
        <w:t>/obesity</w:t>
      </w:r>
      <w:r w:rsidRPr="005E7AA7">
        <w:rPr>
          <w:rFonts w:ascii="Garamond" w:hAnsi="Garamond"/>
          <w:sz w:val="22"/>
          <w:szCs w:val="22"/>
          <w:lang w:val="en-US"/>
        </w:rPr>
        <w:t xml:space="preserve"> in the same </w:t>
      </w:r>
      <w:r w:rsidR="00BD4D11" w:rsidRPr="005E7AA7">
        <w:rPr>
          <w:rFonts w:ascii="Garamond" w:hAnsi="Garamond"/>
          <w:sz w:val="22"/>
          <w:szCs w:val="22"/>
          <w:lang w:val="en-US"/>
        </w:rPr>
        <w:t xml:space="preserve">1-4 year old </w:t>
      </w:r>
      <w:r w:rsidRPr="005E7AA7">
        <w:rPr>
          <w:rFonts w:ascii="Garamond" w:hAnsi="Garamond"/>
          <w:sz w:val="22"/>
          <w:szCs w:val="22"/>
          <w:lang w:val="en-US"/>
        </w:rPr>
        <w:t>age group incre</w:t>
      </w:r>
      <w:r w:rsidR="00BD4D11" w:rsidRPr="005E7AA7">
        <w:rPr>
          <w:rFonts w:ascii="Garamond" w:hAnsi="Garamond"/>
          <w:sz w:val="22"/>
          <w:szCs w:val="22"/>
          <w:lang w:val="en-US"/>
        </w:rPr>
        <w:t>a</w:t>
      </w:r>
      <w:r w:rsidRPr="005E7AA7">
        <w:rPr>
          <w:rFonts w:ascii="Garamond" w:hAnsi="Garamond"/>
          <w:sz w:val="22"/>
          <w:szCs w:val="22"/>
          <w:lang w:val="en-US"/>
        </w:rPr>
        <w:t xml:space="preserve">sed from </w:t>
      </w:r>
      <w:r w:rsidR="00E13FE4" w:rsidRPr="005E7AA7">
        <w:rPr>
          <w:rFonts w:ascii="Garamond" w:hAnsi="Garamond"/>
          <w:sz w:val="22"/>
          <w:szCs w:val="22"/>
          <w:lang w:val="en-US"/>
        </w:rPr>
        <w:t>14.4</w:t>
      </w:r>
      <w:r w:rsidRPr="005E7AA7">
        <w:rPr>
          <w:rFonts w:ascii="Garamond" w:hAnsi="Garamond"/>
          <w:sz w:val="22"/>
          <w:szCs w:val="22"/>
          <w:lang w:val="en-US"/>
        </w:rPr>
        <w:t>%</w:t>
      </w:r>
      <w:r w:rsidRPr="005E7AA7">
        <w:rPr>
          <w:rFonts w:ascii="Garamond" w:hAnsi="Garamond"/>
          <w:bCs/>
          <w:sz w:val="22"/>
          <w:szCs w:val="22"/>
          <w:lang w:val="en-US"/>
        </w:rPr>
        <w:t xml:space="preserve"> to </w:t>
      </w:r>
      <w:r w:rsidR="00E13FE4" w:rsidRPr="005E7AA7">
        <w:rPr>
          <w:rFonts w:ascii="Garamond" w:hAnsi="Garamond"/>
          <w:bCs/>
          <w:sz w:val="22"/>
          <w:szCs w:val="22"/>
          <w:lang w:val="en-US"/>
        </w:rPr>
        <w:t>15.1</w:t>
      </w:r>
      <w:r w:rsidRPr="005E7AA7">
        <w:rPr>
          <w:rFonts w:ascii="Garamond" w:hAnsi="Garamond"/>
          <w:bCs/>
          <w:sz w:val="22"/>
          <w:szCs w:val="22"/>
          <w:lang w:val="en-US"/>
        </w:rPr>
        <w:t>%</w:t>
      </w:r>
      <w:r w:rsidR="00E13FE4" w:rsidRPr="005E7AA7">
        <w:rPr>
          <w:rFonts w:ascii="Garamond" w:hAnsi="Garamond"/>
          <w:bCs/>
          <w:sz w:val="22"/>
          <w:szCs w:val="22"/>
          <w:lang w:val="en-US"/>
        </w:rPr>
        <w:t xml:space="preserve"> </w:t>
      </w:r>
      <w:r w:rsidR="00E13FE4"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"author" : [ { "dropping-particle" : "", "family" : "Instituto Nacional de Salud P\u00fablica", "given" : "", "non-dropping-particle" : "", "parse-names" : false, "suffix" : "" } ], "id" : "ITEM-1", "issued" : { "date-parts" : [ [ "2013" ] ] }, "page" : "1-112", "publisher-place" : "Cuernavaca, M\u00e9xico", "title" : "Encuesta Nacional de Salud y Nutrici\u00f3n 2012. Resultados por entidad federativa, Yucat\u00e1n.", "type" : "report" }, "uris" : [ "http://www.mendeley.com/documents/?uuid=0165bb6f-a4e9-4666-a56b-4ba571d1f0bb" ] } ], "mendeley" : { "previouslyFormattedCitation" : "(Instituto Nacional de Salud P\u00fablica, 2013)" }, "properties" : { "noteIndex" : 0 }, "schema" : "https://github.com/citation-style-language/schema/raw/master/csl-citation.json" }</w:instrText>
      </w:r>
      <w:r w:rsidR="00E13FE4" w:rsidRPr="005E7AA7">
        <w:rPr>
          <w:rFonts w:ascii="Garamond" w:hAnsi="Garamond"/>
          <w:bCs/>
          <w:sz w:val="22"/>
          <w:szCs w:val="22"/>
          <w:lang w:val="en-US"/>
        </w:rPr>
        <w:fldChar w:fldCharType="separate"/>
      </w:r>
      <w:r w:rsidR="00E13FE4" w:rsidRPr="005E7AA7">
        <w:rPr>
          <w:rFonts w:ascii="Garamond" w:hAnsi="Garamond"/>
          <w:bCs/>
          <w:noProof/>
          <w:sz w:val="22"/>
          <w:szCs w:val="22"/>
          <w:lang w:val="en-US"/>
        </w:rPr>
        <w:t>(Instituto Nacional de Salud Pública, 2013)</w:t>
      </w:r>
      <w:r w:rsidR="00E13FE4" w:rsidRPr="005E7AA7">
        <w:rPr>
          <w:rFonts w:ascii="Garamond" w:hAnsi="Garamond"/>
          <w:bCs/>
          <w:sz w:val="22"/>
          <w:szCs w:val="22"/>
          <w:lang w:val="en-US"/>
        </w:rPr>
        <w:fldChar w:fldCharType="end"/>
      </w:r>
      <w:r w:rsidRPr="005E7AA7">
        <w:rPr>
          <w:rFonts w:ascii="Garamond" w:hAnsi="Garamond"/>
          <w:bCs/>
          <w:sz w:val="22"/>
          <w:szCs w:val="22"/>
          <w:lang w:val="en-US"/>
        </w:rPr>
        <w:t>.</w:t>
      </w:r>
      <w:r w:rsidR="00BD4D11" w:rsidRPr="005E7AA7">
        <w:rPr>
          <w:rFonts w:ascii="Garamond" w:hAnsi="Garamond"/>
          <w:bCs/>
          <w:sz w:val="22"/>
          <w:szCs w:val="22"/>
          <w:lang w:val="en-US"/>
        </w:rPr>
        <w:t xml:space="preserve"> </w:t>
      </w:r>
      <w:proofErr w:type="gramStart"/>
      <w:r w:rsidR="00BD4D11" w:rsidRPr="005E7AA7">
        <w:rPr>
          <w:rFonts w:ascii="Garamond" w:hAnsi="Garamond"/>
          <w:bCs/>
          <w:sz w:val="22"/>
          <w:szCs w:val="22"/>
          <w:lang w:val="en-US"/>
        </w:rPr>
        <w:t>Obesity in older age groups increase</w:t>
      </w:r>
      <w:r w:rsidR="00BD4D11" w:rsidRPr="005E7AA7">
        <w:rPr>
          <w:rFonts w:ascii="Garamond" w:hAnsi="Garamond"/>
          <w:sz w:val="22"/>
          <w:szCs w:val="22"/>
          <w:lang w:val="en-US"/>
        </w:rPr>
        <w:t>d by greater amounts.</w:t>
      </w:r>
      <w:proofErr w:type="gramEnd"/>
      <w:r w:rsidR="002E20FD" w:rsidRPr="005E7AA7">
        <w:rPr>
          <w:rFonts w:ascii="Garamond" w:hAnsi="Garamond"/>
          <w:sz w:val="22"/>
          <w:szCs w:val="22"/>
          <w:lang w:val="en-US"/>
        </w:rPr>
        <w:t xml:space="preserve">  </w:t>
      </w:r>
    </w:p>
    <w:p w:rsidR="00DB1503" w:rsidRPr="005E7AA7" w:rsidRDefault="008D50D0" w:rsidP="005E7AA7">
      <w:pPr>
        <w:rPr>
          <w:rFonts w:ascii="Garamond" w:hAnsi="Garamond"/>
          <w:bCs/>
          <w:sz w:val="22"/>
          <w:szCs w:val="22"/>
          <w:lang w:val="en-US"/>
        </w:rPr>
      </w:pPr>
      <w:r w:rsidRPr="005E7AA7">
        <w:rPr>
          <w:rFonts w:ascii="Garamond" w:hAnsi="Garamond"/>
          <w:sz w:val="22"/>
          <w:szCs w:val="22"/>
          <w:lang w:val="en-US"/>
        </w:rPr>
        <w:t xml:space="preserve">Given this broadly uniform set of findings, we find support for our fundamental hypothesis that the nutritional dual-burden of short stature combined with overweight/obesity is the result of </w:t>
      </w:r>
      <w:r w:rsidR="00DB1503" w:rsidRPr="005E7AA7">
        <w:rPr>
          <w:rFonts w:ascii="Garamond" w:hAnsi="Garamond"/>
          <w:sz w:val="22"/>
          <w:szCs w:val="22"/>
          <w:lang w:val="en-US"/>
        </w:rPr>
        <w:t xml:space="preserve">a diet </w:t>
      </w:r>
      <w:r w:rsidR="00DB1503" w:rsidRPr="005E7AA7">
        <w:rPr>
          <w:rFonts w:ascii="Garamond" w:hAnsi="Garamond"/>
          <w:bCs/>
          <w:sz w:val="22"/>
          <w:szCs w:val="22"/>
          <w:lang w:val="en-US"/>
        </w:rPr>
        <w:t xml:space="preserve">deficient in one or more nutrients essential for skeletal growth, but excessive in total energy. </w:t>
      </w:r>
    </w:p>
    <w:p w:rsidR="00092D45" w:rsidRPr="005E7AA7" w:rsidRDefault="00092D45" w:rsidP="00190465">
      <w:pPr>
        <w:ind w:firstLine="720"/>
        <w:rPr>
          <w:rFonts w:ascii="Garamond" w:hAnsi="Garamond"/>
          <w:bCs/>
          <w:sz w:val="22"/>
          <w:szCs w:val="22"/>
          <w:lang w:val="en-US"/>
        </w:rPr>
      </w:pPr>
    </w:p>
    <w:p w:rsidR="00092D45" w:rsidRPr="005E7AA7" w:rsidRDefault="00092D45" w:rsidP="00092D45">
      <w:pPr>
        <w:spacing w:after="0" w:line="240" w:lineRule="auto"/>
        <w:rPr>
          <w:rFonts w:ascii="Garamond" w:hAnsi="Garamond"/>
          <w:bCs/>
          <w:sz w:val="22"/>
          <w:szCs w:val="22"/>
          <w:lang w:val="en-US"/>
        </w:rPr>
      </w:pPr>
      <w:r w:rsidRPr="005E7AA7">
        <w:rPr>
          <w:rFonts w:ascii="Garamond" w:hAnsi="Garamond"/>
          <w:noProof/>
          <w:sz w:val="22"/>
          <w:szCs w:val="22"/>
          <w:lang w:eastAsia="en-GB"/>
        </w:rPr>
        <w:lastRenderedPageBreak/>
        <w:drawing>
          <wp:inline distT="0" distB="0" distL="0" distR="0" wp14:anchorId="5D46368C" wp14:editId="69A791A4">
            <wp:extent cx="5731510" cy="415081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50816"/>
                    </a:xfrm>
                    <a:prstGeom prst="rect">
                      <a:avLst/>
                    </a:prstGeom>
                    <a:noFill/>
                  </pic:spPr>
                </pic:pic>
              </a:graphicData>
            </a:graphic>
          </wp:inline>
        </w:drawing>
      </w:r>
    </w:p>
    <w:p w:rsidR="00092D45" w:rsidRPr="005E7AA7" w:rsidRDefault="00092D45" w:rsidP="005D2BBB">
      <w:pPr>
        <w:ind w:firstLine="720"/>
        <w:rPr>
          <w:rFonts w:ascii="Garamond" w:hAnsi="Garamond"/>
          <w:bCs/>
          <w:sz w:val="22"/>
          <w:szCs w:val="22"/>
          <w:lang w:val="en-US"/>
        </w:rPr>
      </w:pPr>
      <w:r w:rsidRPr="005E7AA7">
        <w:rPr>
          <w:rFonts w:ascii="Garamond" w:hAnsi="Garamond"/>
          <w:bCs/>
          <w:noProof/>
          <w:sz w:val="22"/>
          <w:szCs w:val="22"/>
          <w:lang w:eastAsia="en-GB"/>
        </w:rPr>
        <mc:AlternateContent>
          <mc:Choice Requires="wps">
            <w:drawing>
              <wp:anchor distT="0" distB="0" distL="114300" distR="114300" simplePos="0" relativeHeight="251665408" behindDoc="0" locked="0" layoutInCell="1" allowOverlap="1" wp14:anchorId="5C8B3949" wp14:editId="64219742">
                <wp:simplePos x="0" y="0"/>
                <wp:positionH relativeFrom="column">
                  <wp:posOffset>119270</wp:posOffset>
                </wp:positionH>
                <wp:positionV relativeFrom="paragraph">
                  <wp:posOffset>143565</wp:posOffset>
                </wp:positionV>
                <wp:extent cx="5311471" cy="564543"/>
                <wp:effectExtent l="0" t="0" r="22860"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471" cy="564543"/>
                        </a:xfrm>
                        <a:prstGeom prst="rect">
                          <a:avLst/>
                        </a:prstGeom>
                        <a:solidFill>
                          <a:srgbClr val="FFFFFF"/>
                        </a:solidFill>
                        <a:ln w="9525">
                          <a:solidFill>
                            <a:srgbClr val="000000"/>
                          </a:solidFill>
                          <a:miter lim="800000"/>
                          <a:headEnd/>
                          <a:tailEnd/>
                        </a:ln>
                      </wps:spPr>
                      <wps:txbx>
                        <w:txbxContent>
                          <w:p w:rsidR="00092D45" w:rsidRPr="00092D45" w:rsidRDefault="00092D45" w:rsidP="00092D45">
                            <w:pPr>
                              <w:rPr>
                                <w:sz w:val="18"/>
                                <w:szCs w:val="18"/>
                              </w:rPr>
                            </w:pPr>
                            <w:proofErr w:type="gramStart"/>
                            <w:r w:rsidRPr="00092D45">
                              <w:rPr>
                                <w:sz w:val="18"/>
                                <w:szCs w:val="18"/>
                              </w:rPr>
                              <w:t>Figure 3.</w:t>
                            </w:r>
                            <w:proofErr w:type="gramEnd"/>
                            <w:r w:rsidRPr="00092D45">
                              <w:rPr>
                                <w:sz w:val="18"/>
                                <w:szCs w:val="18"/>
                              </w:rPr>
                              <w:t xml:space="preserve"> Probable association between essential nutrient deficiencies, energy imbalances, globalized diet, physical inactivity, childhood stunting/short stature and overweight, and the adult phenotype of short stature, obesity, hypertension and diabetes (modified from </w:t>
                            </w:r>
                            <w:r w:rsidRPr="00092D45">
                              <w:rPr>
                                <w:sz w:val="18"/>
                                <w:szCs w:val="18"/>
                              </w:rPr>
                              <w:fldChar w:fldCharType="begin" w:fldLock="1"/>
                            </w:r>
                            <w:r w:rsidR="00033477">
                              <w:rPr>
                                <w:sz w:val="18"/>
                                <w:szCs w:val="18"/>
                              </w:rPr>
                              <w:instrText>ADDIN CSL_CITATION { "citationItems" : [ { "id" : "ITEM-1", "itemData" : { "DOI" : "10.1159/000209975", "ISSN" : "1661-6677", "PMID" : "19346770", "abstract" : "It is estimated that over 51 million people in Brazil live in slums, areas where a high prevalence of malnutrition is also found. In general, the population of 'slum dwellers' is growing at a faster rate than urban populations. This condition is associated with poor sanitation, unhealthy food habits, low birthweight, and stunting. Stunting is of particular concern as longitudinal and cross-sectional studies of stunted adolescents have shown a high susceptibility to gain central fat, lower fat oxidation, and lower resting and postprandial energy expenditure. In addition, higher blood pressure, higher plasma uric acid and impaired flow-mediated vascular dilation were all associated with a higher level of hypertension in low birthweight and stunted children. In particular, stunted boys and girls also showed lower insulin production by pancreatic beta cells. All these factors are linked with a higher risk of chronic diseases later in life. Among stunted adults, alterations in plasma lipids, glucose and insulin have also been reported. However, adequate nutritional recovery with linear catch-up growth, after treatment in nutritional rehabilitation centers, can moderate the alterations in body composition, bone density and insulin production.", "author" : [ { "dropping-particle" : "", "family" : "Sawaya", "given" : "Ana Lydia", "non-dropping-particle" : "", "parse-names" : false, "suffix" : "" }, { "dropping-particle" : "", "family" : "Martins", "given" : "Paula Andrea", "non-dropping-particle" : "", "parse-names" : false, "suffix" : "" }, { "dropping-particle" : "", "family" : "Baccin Martins", "given" : "Vinicius Jos\u00e9", "non-dropping-particle" : "", "parse-names" : false, "suffix" : "" }, { "dropping-particle" : "", "family" : "Flor\u00eancio", "given" : "Telma Toledo", "non-dropping-particle" : "", "parse-names" : false, "suffix" : "" }, { "dropping-particle" : "", "family" : "Hoffman", "given" : "Daniel", "non-dropping-particle" : "", "parse-names" : false, "suffix" : "" }, { "dropping-particle" : "", "family" : "Carmo P Franco", "given" : "Maria", "non-dropping-particle" : "do", "parse-names" : false, "suffix" : "" }, { "dropping-particle" : "", "family" : "Neves", "given" : "Jana\u00edna", "non-dropping-particle" : "das", "parse-names" : false, "suffix" : "" } ], "container-title" : "Nestl\u00e9 Nutrition workshop series. Paediatric programme", "id" : "ITEM-1", "issued" : { "date-parts" : [ [ "2009", "1" ] ] }, "page" : "95-108", "title" : "Malnutrition, long-term health and the effect of nutritional recovery.", "type" : "article-journal", "volume" : "63" }, "uris" : [ "http://www.mendeley.com/documents/?uuid=8b2cf2fa-18f2-455f-a462-0625db9c6aed" ] } ], "mendeley" : { "manualFormatting" : "Sawaya et al., 2009)", "previouslyFormattedCitation" : "(Sawaya et al., 2009)" }, "properties" : { "noteIndex" : 0 }, "schema" : "https://github.com/citation-style-language/schema/raw/master/csl-citation.json" }</w:instrText>
                            </w:r>
                            <w:r w:rsidRPr="00092D45">
                              <w:rPr>
                                <w:sz w:val="18"/>
                                <w:szCs w:val="18"/>
                              </w:rPr>
                              <w:fldChar w:fldCharType="separate"/>
                            </w:r>
                            <w:r w:rsidRPr="00092D45">
                              <w:rPr>
                                <w:noProof/>
                                <w:sz w:val="18"/>
                                <w:szCs w:val="18"/>
                              </w:rPr>
                              <w:t>Sawaya et al., 2009)</w:t>
                            </w:r>
                            <w:r w:rsidRPr="00092D45">
                              <w:rPr>
                                <w:sz w:val="18"/>
                                <w:szCs w:val="18"/>
                              </w:rPr>
                              <w:fldChar w:fldCharType="end"/>
                            </w:r>
                            <w:r w:rsidRPr="00092D45">
                              <w:rPr>
                                <w:sz w:val="18"/>
                                <w:szCs w:val="18"/>
                              </w:rPr>
                              <w:t>.</w:t>
                            </w:r>
                          </w:p>
                          <w:p w:rsidR="00092D45" w:rsidRDefault="00092D45" w:rsidP="00092D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4pt;margin-top:11.3pt;width:418.25pt;height:4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">
                <v:textbox>
                  <w:txbxContent>
                    <w:p w:rsidR="00092D45" w:rsidRPr="00092D45" w:rsidRDefault="00092D45" w:rsidP="00092D45">
                      <w:pPr>
                        <w:rPr>
                          <w:sz w:val="18"/>
                          <w:szCs w:val="18"/>
                        </w:rPr>
                      </w:pPr>
                      <w:proofErr w:type="gramStart"/>
                      <w:r w:rsidRPr="00092D45">
                        <w:rPr>
                          <w:sz w:val="18"/>
                          <w:szCs w:val="18"/>
                        </w:rPr>
                        <w:t>Figure 3.</w:t>
                      </w:r>
                      <w:proofErr w:type="gramEnd"/>
                      <w:r w:rsidRPr="00092D45">
                        <w:rPr>
                          <w:sz w:val="18"/>
                          <w:szCs w:val="18"/>
                        </w:rPr>
                        <w:t xml:space="preserve"> Probable association between essential nutrient deficiencies, energy imbalances, globalized diet, physical inactivity, childhood stunting/short stature and overweight, and the adult phenotype of short stature, obesity, hypertension and diabetes (modified from </w:t>
                      </w:r>
                      <w:r w:rsidRPr="00092D45">
                        <w:rPr>
                          <w:sz w:val="18"/>
                          <w:szCs w:val="18"/>
                        </w:rPr>
                        <w:fldChar w:fldCharType="begin" w:fldLock="1"/>
                      </w:r>
                      <w:r w:rsidR="00033477">
                        <w:rPr>
                          <w:sz w:val="18"/>
                          <w:szCs w:val="18"/>
                        </w:rPr>
                        <w:instrText>ADDIN CSL_CITATION { "citationItems" : [ { "id" : "ITEM-1", "itemData" : { "DOI" : "10.1159/000209975", "ISSN" : "1661-6677", "PMID" : "19346770", "abstract" : "It is estimated that over 51 million people in Brazil live in slums, areas where a high prevalence of malnutrition is also found. In general, the population of 'slum dwellers' is growing at a faster rate than urban populations. This condition is associated with poor sanitation, unhealthy food habits, low birthweight, and stunting. Stunting is of particular concern as longitudinal and cross-sectional studies of stunted adolescents have shown a high susceptibility to gain central fat, lower fat oxidation, and lower resting and postprandial energy expenditure. In addition, higher blood pressure, higher plasma uric acid and impaired flow-mediated vascular dilation were all associated with a higher level of hypertension in low birthweight and stunted children. In particular, stunted boys and girls also showed lower insulin production by pancreatic beta cells. All these factors are linked with a higher risk of chronic diseases later in life. Among stunted adults, alterations in plasma lipids, glucose and insulin have also been reported. However, adequate nutritional recovery with linear catch-up growth, after treatment in nutritional rehabilitation centers, can moderate the alterations in body composition, bone density and insulin production.", "author" : [ { "dropping-particle" : "", "family" : "Sawaya", "given" : "Ana Lydia", "non-dropping-particle" : "", "parse-names" : false, "suffix" : "" }, { "dropping-particle" : "", "family" : "Martins", "given" : "Paula Andrea", "non-dropping-particle" : "", "parse-names" : false, "suffix" : "" }, { "dropping-particle" : "", "family" : "Baccin Martins", "given" : "Vinicius Jos\u00e9", "non-dropping-particle" : "", "parse-names" : false, "suffix" : "" }, { "dropping-particle" : "", "family" : "Flor\u00eancio", "given" : "Telma Toledo", "non-dropping-particle" : "", "parse-names" : false, "suffix" : "" }, { "dropping-particle" : "", "family" : "Hoffman", "given" : "Daniel", "non-dropping-particle" : "", "parse-names" : false, "suffix" : "" }, { "dropping-particle" : "", "family" : "Carmo P Franco", "given" : "Maria", "non-dropping-particle" : "do", "parse-names" : false, "suffix" : "" }, { "dropping-particle" : "", "family" : "Neves", "given" : "Jana\u00edna", "non-dropping-particle" : "das", "parse-names" : false, "suffix" : "" } ], "container-title" : "Nestl\u00e9 Nutrition workshop series. Paediatric programme", "id" : "ITEM-1", "issued" : { "date-parts" : [ [ "2009", "1" ] ] }, "page" : "95-108", "title" : "Malnutrition, long-term health and the effect of nutritional recovery.", "type" : "article-journal", "volume" : "63" }, "uris" : [ "http://www.mendeley.com/documents/?uuid=8b2cf2fa-18f2-455f-a462-0625db9c6aed" ] } ], "mendeley" : { "manualFormatting" : "Sawaya et al., 2009)", "previouslyFormattedCitation" : "(Sawaya et al., 2009)" }, "properties" : { "noteIndex" : 0 }, "schema" : "https://github.com/citation-style-language/schema/raw/master/csl-citation.json" }</w:instrText>
                      </w:r>
                      <w:r w:rsidRPr="00092D45">
                        <w:rPr>
                          <w:sz w:val="18"/>
                          <w:szCs w:val="18"/>
                        </w:rPr>
                        <w:fldChar w:fldCharType="separate"/>
                      </w:r>
                      <w:r w:rsidRPr="00092D45">
                        <w:rPr>
                          <w:noProof/>
                          <w:sz w:val="18"/>
                          <w:szCs w:val="18"/>
                        </w:rPr>
                        <w:t>Sawaya et al., 2009)</w:t>
                      </w:r>
                      <w:r w:rsidRPr="00092D45">
                        <w:rPr>
                          <w:sz w:val="18"/>
                          <w:szCs w:val="18"/>
                        </w:rPr>
                        <w:fldChar w:fldCharType="end"/>
                      </w:r>
                      <w:r w:rsidRPr="00092D45">
                        <w:rPr>
                          <w:sz w:val="18"/>
                          <w:szCs w:val="18"/>
                        </w:rPr>
                        <w:t>.</w:t>
                      </w:r>
                    </w:p>
                    <w:p w:rsidR="00092D45" w:rsidRDefault="00092D45" w:rsidP="00092D45"/>
                  </w:txbxContent>
                </v:textbox>
              </v:shape>
            </w:pict>
          </mc:Fallback>
        </mc:AlternateContent>
      </w:r>
    </w:p>
    <w:p w:rsidR="00092D45" w:rsidRPr="005E7AA7" w:rsidRDefault="00092D45" w:rsidP="005D2BBB">
      <w:pPr>
        <w:ind w:firstLine="720"/>
        <w:rPr>
          <w:rFonts w:ascii="Garamond" w:hAnsi="Garamond"/>
          <w:bCs/>
          <w:sz w:val="22"/>
          <w:szCs w:val="22"/>
          <w:lang w:val="en-US"/>
        </w:rPr>
      </w:pPr>
    </w:p>
    <w:p w:rsidR="00092D45" w:rsidRPr="005E7AA7" w:rsidRDefault="00092D45" w:rsidP="005D2BBB">
      <w:pPr>
        <w:ind w:firstLine="720"/>
        <w:rPr>
          <w:rFonts w:ascii="Garamond" w:hAnsi="Garamond"/>
          <w:bCs/>
          <w:sz w:val="22"/>
          <w:szCs w:val="22"/>
          <w:lang w:val="en-US"/>
        </w:rPr>
      </w:pPr>
    </w:p>
    <w:p w:rsidR="005D2BBB" w:rsidRPr="005E7AA7" w:rsidRDefault="00190465" w:rsidP="005E7AA7">
      <w:pPr>
        <w:rPr>
          <w:rFonts w:ascii="Garamond" w:hAnsi="Garamond"/>
          <w:bCs/>
          <w:sz w:val="22"/>
          <w:szCs w:val="22"/>
          <w:lang w:val="es-MX"/>
        </w:rPr>
      </w:pPr>
      <w:r w:rsidRPr="005E7AA7">
        <w:rPr>
          <w:rFonts w:ascii="Garamond" w:hAnsi="Garamond"/>
          <w:bCs/>
          <w:sz w:val="22"/>
          <w:szCs w:val="22"/>
          <w:lang w:val="en-US"/>
        </w:rPr>
        <w:t>We depict in Figure 3 the probable associations between Maya diet, lifestyle, child physical growth, and adult phenotype. All nutritional surveys of the Yucatan region of Mexico, and of its Maya people, find that some essential nutrients are deficient in the diet. The lack of any single essential nutrient (defined as those which must be supplied by the diet for basic metabolism, growth, physical activity, and reproduction) will impair growth. The combination of deficiencies for folate and other B complex vitamins, iron, vitamin A, and calcium will slow skeletal growth and reduce stature. The Maya families participating in our study are of low SES and live under economic and dietary insecurity</w:t>
      </w:r>
      <w:r w:rsidR="006759B8" w:rsidRPr="005E7AA7">
        <w:rPr>
          <w:rFonts w:ascii="Garamond" w:hAnsi="Garamond"/>
          <w:bCs/>
          <w:sz w:val="22"/>
          <w:szCs w:val="22"/>
          <w:lang w:val="en-US"/>
        </w:rPr>
        <w:t xml:space="preserve"> – the most recent Mexican national survey reports 66.7% of all families in Merida are food insecure </w:t>
      </w:r>
      <w:r w:rsidR="00E13FE4"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"author" : [ { "dropping-particle" : "", "family" : "Instituto Nacional de Salud P\u00fablica", "given" : "", "non-dropping-particle" : "", "parse-names" : false, "suffix" : "" } ], "id" : "ITEM-1", "issued" : { "date-parts" : [ [ "2013" ] ] }, "page" : "1-112", "publisher-place" : "Cuernavaca, M\u00e9xico", "title" : "Encuesta Nacional de Salud y Nutrici\u00f3n 2012. Resultados por entidad federativa, Yucat\u00e1n.", "type" : "report" }, "uris" : [ "http://www.mendeley.com/documents/?uuid=0165bb6f-a4e9-4666-a56b-4ba571d1f0bb" ] } ], "mendeley" : { "previouslyFormattedCitation" : "(Instituto Nacional de Salud P\u00fablica, 2013)" }, "properties" : { "noteIndex" : 0 }, "schema" : "https://github.com/citation-style-language/schema/raw/master/csl-citation.json" }</w:instrText>
      </w:r>
      <w:r w:rsidR="00E13FE4" w:rsidRPr="005E7AA7">
        <w:rPr>
          <w:rFonts w:ascii="Garamond" w:hAnsi="Garamond"/>
          <w:bCs/>
          <w:sz w:val="22"/>
          <w:szCs w:val="22"/>
          <w:lang w:val="en-US"/>
        </w:rPr>
        <w:fldChar w:fldCharType="separate"/>
      </w:r>
      <w:r w:rsidR="00E13FE4" w:rsidRPr="005E7AA7">
        <w:rPr>
          <w:rFonts w:ascii="Garamond" w:hAnsi="Garamond"/>
          <w:bCs/>
          <w:noProof/>
          <w:sz w:val="22"/>
          <w:szCs w:val="22"/>
          <w:lang w:val="en-US"/>
        </w:rPr>
        <w:t>(Instituto Nacional de Salud Pública, 2013)</w:t>
      </w:r>
      <w:r w:rsidR="00E13FE4" w:rsidRPr="005E7AA7">
        <w:rPr>
          <w:rFonts w:ascii="Garamond" w:hAnsi="Garamond"/>
          <w:bCs/>
          <w:sz w:val="22"/>
          <w:szCs w:val="22"/>
          <w:lang w:val="en-US"/>
        </w:rPr>
        <w:fldChar w:fldCharType="end"/>
      </w:r>
      <w:r w:rsidRPr="005E7AA7">
        <w:rPr>
          <w:rFonts w:ascii="Garamond" w:hAnsi="Garamond"/>
          <w:bCs/>
          <w:sz w:val="22"/>
          <w:szCs w:val="22"/>
          <w:lang w:val="en-US"/>
        </w:rPr>
        <w:t xml:space="preserve">. Unemployment and under-employment of Maya parents is common and when employed the work is often of a physically demanding nature (e.g., construction). </w:t>
      </w:r>
      <w:r w:rsidR="005D2BBB" w:rsidRPr="005E7AA7">
        <w:rPr>
          <w:rFonts w:ascii="Garamond" w:hAnsi="Garamond"/>
          <w:bCs/>
          <w:sz w:val="22"/>
          <w:szCs w:val="22"/>
          <w:lang w:val="en-US"/>
        </w:rPr>
        <w:t>For adults, t</w:t>
      </w:r>
      <w:r w:rsidR="0053067C" w:rsidRPr="005E7AA7">
        <w:rPr>
          <w:rFonts w:ascii="Garamond" w:hAnsi="Garamond"/>
          <w:bCs/>
          <w:sz w:val="22"/>
          <w:szCs w:val="22"/>
          <w:lang w:val="en-US"/>
        </w:rPr>
        <w:t xml:space="preserve">he episodic nature of wage-earning, diet, and physical activity is known to be associated with an overall poor diet and weight gain from body fat </w:t>
      </w:r>
      <w:r w:rsidR="0063568A"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"DOI" : "10.1016/j.jand.2012.08.031", "ISSN" : "2212-2672", "PMID" : "23174682", "abstract" : "BACKGROUND: Obesity and its co-occurrence with household food insecurity among low-income families is a public health concern, particularly because both are associated with later adverse health consequences. OBJECTIVE: Our aim was to examine the relationship between household food insecurity with and without hunger in infancy and later childhood with weight status at 2 to 5 years. DESIGN: This longitudinal study uses household food-security status, weight, and height data collected at the first infancy and last child (2 to 5 years) Special Supplemental Nutrition Program for Women, Infants, and Children visits. Household food security was based on parent/caretaker responses to a four-question subscale of the 18-item Core Food Security Module. Obesity was defined as sex-specific body mass index for age \u2265 95th percentile. PARTICIPANTS/SETTING: A diverse (58.6% non-white) low-income sample of 28,353 children participating in the Massachusetts Special Supplemental Nutrition Program for Women, Infants, and Children (2001-2006); 24.9% of infants and 23.1% of children lived in food-insecure households and 17.1% were obese at their last child visit. STATISTICAL ANALYSIS: Multivariate logistic regression analyses assessed the association between household food-security status during the infant and child visits, and risk of preschool obesity, while controlling for child race/Hispanic ethnicity, sex, child and household size, maternal age, education, and prepregnancy weight. Interactions between these covariates and household food-security status were also examined. In cases of multiple comparisons, a Bonferroni correction was applied. RESULTS: Persistent household food insecurity without hunger was associated with 22% greater odds of child obesity (odds ratio=1.22; 95% CI 1.06 to 1.41) compared with those persistently food secure (P&lt;0.05). Maternal prepregnancy weight status modified this association with children of underweight (adjusted odds ratio=3.22; 95% CI 1.70 to 6.11; P=0.003) or overweight/obese (adjusted odds ratio=1.34; 95% CI 1.11 to 1.62; P=0.03) mothers experiencing greater odds of child obesity with persistent household food insecurity without hunger compared with those with persistent household food security. CONCLUSIONS: These results suggest that persistent household food insecurity without hunger is prospectively related to child obesity, but that these associations depend on maternal weight status. Vulnerable groups should be targeted for early\u2026", "author" : [ { "dropping-particle" : "", "family" : "Metallinos-Katsaras", "given" : "Elizabeth", "non-dropping-particle" : "", "parse-names" : false, "suffix" : "" }, { "dropping-particle" : "", "family" : "Must", "given" : "Aviva", "non-dropping-particle" : "", "parse-names" : false, "suffix" : "" }, { "dropping-particle" : "", "family" : "Gorman", "given" : "Kathleen", "non-dropping-particle" : "", "parse-names" : false, "suffix" : "" } ], "container-title" : "Journal of the Academy of Nutrition and Dietetics", "id" : "ITEM-1", "issue" : "12", "issued" : { "date-parts" : [ [ "2012", "12" ] ] }, "page" : "1949-58", "title" : "A longitudinal study of food insecurity on obesity in preschool children.", "type" : "article-journal", "volume" : "112" }, "uris" : [ "http://www.mendeley.com/documents/?uuid=17390596-84fd-44dd-afc2-b16b136381e4" ] }, { "id" : "ITEM-2", "itemData" : { "DOI" : "10.1111/j.1467-789X.2010.00820.x", "ISSN" : "1467-789X", "PMID" : "21382151", "abstract" : "In the USA, several nutrition-related issues confront the normal growth, maturation and development of children and adolescents including obesity and food insecurity. The purpose of this paper is to provide a review of the concept of food insecurity and a summary of studies that have examined the association between food insecurity and overweight/obesity in children and adolescents. Besides the initial case report, we review 21 studies (16 cross-sectional and five prospective studies) that have been published on this topic as of December 2009. As there is limited literature in this area, we review studies that sample children and adolescents in the USA. The results are mixed with positive, negative and null associations. The reasons for the mixed results are difficult to disentangle. Among earlier studies, small samples hampered definitive conclusions. More recent studies with larger samples have overcome these limitations and tend to find no associations between these constructs. Nonetheless, all of the studies to date have shown that food insecurity and overweight co-exist - that is, even though there may not be statistically significant differences in overweight between food-insecure and food-secure children, the prevalence of overweight remains relatively high in food-insecure children.", "author" : [ { "dropping-particle" : "", "family" : "Eisenmann", "given" : "J C", "non-dropping-particle" : "", "parse-names" : false, "suffix" : "" }, { "dropping-particle" : "", "family" : "Gundersen", "given" : "C", "non-dropping-particle" : "", "parse-names" : false, "suffix" : "" }, { "dropping-particle" : "", "family" : "Lohman", "given" : "B J", "non-dropping-particle" : "", "parse-names" : false, "suffix" : "" }, { "dropping-particle" : "", "family" : "Garasky", "given" : "S", "non-dropping-particle" : "", "parse-names" : false, "suffix" : "" }, { "dropping-particle" : "", "family" : "Stewart", "given" : "S D", "non-dropping-particle" : "", "parse-names" : false, "suffix" : "" } ], "container-title" : "Obesity reviews : an official journal of the International Association for the Study of Obesity", "id" : "ITEM-2", "issue" : "5", "issued" : { "date-parts" : [ [ "2011", "5" ] ] }, "page" : "e73-83", "title" : "Is food insecurity related to overweight and obesity in children and adolescents? A summary of studies, 1995-2009.", "type" : "article-journal", "volume" : "12" }, "uris" : [ "http://www.mendeley.com/documents/?uuid=3ff33c0b-3352-4ec4-bd66-684bf60e353e" ] }, { "id" : "ITEM-3", "itemData" : { "DOI" : "10.1111/j.1753-4887.2011.00456.x", "ISSN" : "17534887", "PMID" : "22221213", "abstract" : "Decades ago, discussion of an impending global pandemic of obesity was thought of as heresy. But in the 1970s, diets began to shift towards increased reliance upon processed foods, increased away-from-home food intake, and increased use of edible oils and sugar-sweetened beverages. Reductions in physical activity and increases in sedentary behavior began to be seen as well. The negative effects of these changes began to be recognized in the early 1990s, primarily in low- and middle-income populations, but they did not become clearly acknowledged until diabetes, hypertension, and obesity began to dominate the globe. Now, rapid increases in the rates of obesity and overweight are widely documented, from urban and rural area</w:instrText>
      </w:r>
      <w:r w:rsidR="00033477" w:rsidRPr="005E7AA7">
        <w:rPr>
          <w:rFonts w:ascii="Garamond" w:hAnsi="Garamond"/>
          <w:bCs/>
          <w:sz w:val="22"/>
          <w:szCs w:val="22"/>
          <w:lang w:val="es-MX"/>
        </w:rPr>
        <w:instrText>s in the poorest countries of sub-Saharan Africa and South Asia to populations in countries with higher income levels. Concurrent rapid shifts in diet and activity are well documented as well. An array of large-scale programmatic and policy measures are being explored in a few countries; however, few countries are engaged in serious efforts to prevent the serious dietary challenges being faced.", "author" : [ { "dropping-particle" : "", "family" : "Popkin", "given" : "Barry M", "non-dropping-particle" : "", "parse-names" : false, "suffix" : "" }, { "dropping-particle" : "", "family" : "Adair", "given" : "Linda S", "non-dropping-particle" : "", "parse-names" : false, "suffix" : "" }, { "dropping-particle" : "", "family" : "Ng", "given" : "Shu Wen", "non-dropping-particle" : "", "parse-names" : false, "suffix" : "" } ], "container-title" : "Nutrition Reviews", "id" : "ITEM-3", "issue" : "1", "issued" : { "date-parts" : [ [ "2012" ] ] }, "page" : "3-21", "publisher" : "Am Soc Nutrition", "title" : "Global nutrition transition and the pandemic of obesity in developing countries.", "type" : "article-journal", "volume" : "70" }, "uris" : [ "http://www.mendeley.com/documents/?uuid=7a9e68c9-34ef-41c9-bacd-f74eb8f1c30a" ] } ], "mendeley" : { "previouslyFormattedCitation" : "(Eisenmann et al., 2011; Metallinos-Katsaras et al., 2012; Popkin et al., 2012)" }, "properties" : { "noteIndex" : 0 }, "schema" : "https://github.com/citation-style-language/schema/raw/master/csl-citation.json" }</w:instrText>
      </w:r>
      <w:r w:rsidR="0063568A" w:rsidRPr="005E7AA7">
        <w:rPr>
          <w:rFonts w:ascii="Garamond" w:hAnsi="Garamond"/>
          <w:bCs/>
          <w:sz w:val="22"/>
          <w:szCs w:val="22"/>
          <w:lang w:val="en-US"/>
        </w:rPr>
        <w:fldChar w:fldCharType="separate"/>
      </w:r>
      <w:r w:rsidR="0063568A" w:rsidRPr="005E7AA7">
        <w:rPr>
          <w:rFonts w:ascii="Garamond" w:hAnsi="Garamond"/>
          <w:bCs/>
          <w:noProof/>
          <w:sz w:val="22"/>
          <w:szCs w:val="22"/>
          <w:lang w:val="es-MX"/>
        </w:rPr>
        <w:t>(Eisenmann et al., 2011; Metallinos-Katsaras et al., 2012; Popkin et al., 2012)</w:t>
      </w:r>
      <w:r w:rsidR="0063568A" w:rsidRPr="005E7AA7">
        <w:rPr>
          <w:rFonts w:ascii="Garamond" w:hAnsi="Garamond"/>
          <w:bCs/>
          <w:sz w:val="22"/>
          <w:szCs w:val="22"/>
          <w:lang w:val="en-US"/>
        </w:rPr>
        <w:fldChar w:fldCharType="end"/>
      </w:r>
      <w:r w:rsidR="0063568A" w:rsidRPr="005E7AA7">
        <w:rPr>
          <w:rFonts w:ascii="Garamond" w:hAnsi="Garamond"/>
          <w:bCs/>
          <w:sz w:val="22"/>
          <w:szCs w:val="22"/>
          <w:lang w:val="es-MX"/>
        </w:rPr>
        <w:t xml:space="preserve">. </w:t>
      </w:r>
    </w:p>
    <w:p w:rsidR="005177B8" w:rsidRPr="005E7AA7" w:rsidRDefault="00355004" w:rsidP="005E7AA7">
      <w:pPr>
        <w:rPr>
          <w:rFonts w:ascii="Garamond" w:hAnsi="Garamond"/>
          <w:bCs/>
          <w:sz w:val="22"/>
          <w:szCs w:val="22"/>
          <w:lang w:val="en-US"/>
        </w:rPr>
      </w:pPr>
      <w:r w:rsidRPr="005E7AA7">
        <w:rPr>
          <w:rFonts w:ascii="Garamond" w:hAnsi="Garamond"/>
          <w:bCs/>
          <w:sz w:val="22"/>
          <w:szCs w:val="22"/>
          <w:lang w:val="en-US"/>
        </w:rPr>
        <w:t xml:space="preserve">We objectively measured the physical activity of </w:t>
      </w:r>
      <w:r w:rsidR="005D2BBB" w:rsidRPr="005E7AA7">
        <w:rPr>
          <w:rFonts w:ascii="Garamond" w:hAnsi="Garamond"/>
          <w:bCs/>
          <w:sz w:val="22"/>
          <w:szCs w:val="22"/>
          <w:lang w:val="en-US"/>
        </w:rPr>
        <w:t>3</w:t>
      </w:r>
      <w:r w:rsidR="00F8256D" w:rsidRPr="005E7AA7">
        <w:rPr>
          <w:rFonts w:ascii="Garamond" w:hAnsi="Garamond"/>
          <w:bCs/>
          <w:sz w:val="22"/>
          <w:szCs w:val="22"/>
          <w:lang w:val="en-US"/>
        </w:rPr>
        <w:t>3</w:t>
      </w:r>
      <w:r w:rsidR="005D2BBB" w:rsidRPr="005E7AA7">
        <w:rPr>
          <w:rFonts w:ascii="Garamond" w:hAnsi="Garamond"/>
          <w:bCs/>
          <w:sz w:val="22"/>
          <w:szCs w:val="22"/>
          <w:lang w:val="en-US"/>
        </w:rPr>
        <w:t xml:space="preserve"> of the 58 </w:t>
      </w:r>
      <w:r w:rsidRPr="005E7AA7">
        <w:rPr>
          <w:rFonts w:ascii="Garamond" w:hAnsi="Garamond"/>
          <w:bCs/>
          <w:sz w:val="22"/>
          <w:szCs w:val="22"/>
          <w:lang w:val="en-US"/>
        </w:rPr>
        <w:t xml:space="preserve">children </w:t>
      </w:r>
      <w:r w:rsidR="005D2BBB" w:rsidRPr="005E7AA7">
        <w:rPr>
          <w:rFonts w:ascii="Garamond" w:hAnsi="Garamond"/>
          <w:bCs/>
          <w:sz w:val="22"/>
          <w:szCs w:val="22"/>
          <w:lang w:val="en-US"/>
        </w:rPr>
        <w:t>in the FFQ sample (1</w:t>
      </w:r>
      <w:r w:rsidR="000B5C6D" w:rsidRPr="005E7AA7">
        <w:rPr>
          <w:rFonts w:ascii="Garamond" w:hAnsi="Garamond"/>
          <w:bCs/>
          <w:sz w:val="22"/>
          <w:szCs w:val="22"/>
          <w:lang w:val="en-US"/>
        </w:rPr>
        <w:t>7</w:t>
      </w:r>
      <w:r w:rsidR="005D2BBB" w:rsidRPr="005E7AA7">
        <w:rPr>
          <w:rFonts w:ascii="Garamond" w:hAnsi="Garamond"/>
          <w:bCs/>
          <w:sz w:val="22"/>
          <w:szCs w:val="22"/>
          <w:lang w:val="en-US"/>
        </w:rPr>
        <w:t xml:space="preserve"> boys) </w:t>
      </w:r>
      <w:r w:rsidRPr="005E7AA7">
        <w:rPr>
          <w:rFonts w:ascii="Garamond" w:hAnsi="Garamond"/>
          <w:bCs/>
          <w:sz w:val="22"/>
          <w:szCs w:val="22"/>
          <w:lang w:val="en-US"/>
        </w:rPr>
        <w:t>over a one week period</w:t>
      </w:r>
      <w:r w:rsidR="005D2BBB" w:rsidRPr="005E7AA7">
        <w:rPr>
          <w:rFonts w:ascii="Garamond" w:hAnsi="Garamond"/>
          <w:bCs/>
          <w:sz w:val="22"/>
          <w:szCs w:val="22"/>
          <w:lang w:val="en-US"/>
        </w:rPr>
        <w:t xml:space="preserve"> </w:t>
      </w:r>
      <w:r w:rsidR="005D2BBB"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"DOI" : "10.1002/ajhb.21150", "abstract" : "Logistics of using new measurement devices are important to understand when developing protocols. This paper discusses the logistics of using Actiheart physical activity monitors on children in an urban, tropical environment in a developing country. Actiheart monitoring of 36 children aged 7-9 years old was undertaken for 7 days in the city of M\u00e9rida, Yucat\u00e1n, Mexico. The Actiheart proved fragile for children and difficult to mend in the field. The excessive sweating due to the tropical climate caused poor adherence of the electrode pads, requiring a pad change midway through and extra pads to be provided. Also extra time was needed to be allotted for increased instructions to participants and their mothers and for individual calibration. When collecting objectively measured physical activity data under harsh conditions, the protocol must accommodate local conditions and device limitations and allow increased time with participants to obtain good quality data.", "author" : [ { "dropping-particle" : "", "family" : "Wilson", "given" : "Hannah", "non-dropping-particle" : "", "parse-names" : false, "suffix" : "" }, { "dropping-particle" : "", "family" : "Dickinson", "given" : "Federico", "non-dropping-particle" : "", "parse-names" : false, "suffix" : "" }, { "dropping-particle" : "", "family" : "Griffiths", "given" : "Paula", "non-dropping-particle" : "", "parse-names" : false, "suffix" : "" }, { "dropping-particle" : "", "family" : "Bogin", "given" : "Barry", "non-dropping-particle" : "", "parse-names" : false, "suffix" : "" }, { "dropping-particle" : "", "family" : "Varela-Silva", "given" : "Maria In\u00eas", "non-dropping-particle" : "", "parse-names" : false, "suffix" : "" } ], "container-title" : "American journal of human biology : the official journal of the Human Biology Council", "id" : "ITEM-1", "issue" : "3", "issued" : { "date-parts" : [ [ "2011" ] ] }, "page" : "426-8", "title" : "Logistics of using the Actiheart physical activity monitors in urban Mexico among 7- to 9-year-old children.", "type" : "article-journal", "volume" : "23" }, "uris" : [ "http://www.mendeley.com/documents/?uuid=82e1cfdd-3c95-4112-8f53-067f12f1df7f" ] }, { "id" : "ITEM-2", "itemData" : { "DOI" : "10.1002/ajpa.22463", "ISSN" : "1096-8644", "PMID" : "24375238", "abstract" : "The co-existence of very short stature due to poor chronic environment in early life and obesity is becoming a public health concern in rapidly transitioning populations with high levels of poverty. Individuals who have very short stature seem to be at an increased risk of obesity in times of relative caloric abundance. Increasing evidence shows that an individual is influenced by exposures in previous generations. This study assesses whether maternal poor early life environment predicts her child's adiposity using cross sectional design on Maya schoolchildren aged 7-9 and their mothers (n = 57 pairs). We compared maternal chronic early life environment (stature) with her child's adiposity (body mass index [BMI] z-score, waist circumference z-score, and percentage body fat) using multiple linear regression, controlling for the child's own environmental exposures (household sanitation and maternal parity). The research was performed in the south of Merida, Yucatan, Mexico, a low socioeconomic urban area in an upper middle income country. The Maya mothers were very short, with a mean stature of 147 cm. The children had fairly high adiposity levels, with BMI and waist circumference z-scores above the reference median. Maternal stature did not significantly predict any child adiposity indicator. There does not appear to be an intergenerational component of maternal early life chronic under-nutrition on her child's obesity risk within this free living population living in poverty. These results suggest that the co-existence of very short stature and obesity appears to be primarily due to exposures and experiences within a generation rather than across generations. Am J Phys Anthropol, 2013. \u00a9 2013 Wiley Periodicals, Inc.", "author" : [ { "dropping-particle" : "", "family" : "Wilson", "given" : "Hannah J", "non-dropping-particle" : "", "parse-names" : false, "suffix" : "" }, { "dropping-particle" : "", "family" : "Dickinson", "given" : "Federico", "non-dropping-particle" : "", "parse-names" : false, "suffix" : "" }, { "dropping-particle" : "", "family" : "Griffiths", "given" : "Paula L", "non-dropping-particle" : "", "parse-names" : false, "suffix" : "" }, { "dropping-particle" : "", "family" : "Bogin", "given" : "Barry", "non-dropping-particle" : "", "parse-names" : false, "suffix" : "" }, { "dropping-particle" : "", "family" : "Hobbs", "given" : "Matthew", "non-dropping-particle" : "", "parse-names" : false, "suffix" : "" }, { "dropping-particle" : "", "family" : "Varela-Silva", "given" : "M In\u00eas", "non-dropping-particle" : "", "parse-names" : false, "suffix" : "" } ], "container-title" : "American journal of physical anthropology", "id" : "ITEM-2", "issue" : "October", "issued" : { "date-parts" : [ [ "2013", "12", "30" ] ] }, "title" : "Maternal short stature does not predict their children's fatness indicators in a nutritional dual-burden sample of urban Mexican Maya.", "type" : "article-journal", "volume" : "00" }, "uris" : [ "http://www.mendeley.com/documents/?uuid=44cc7f62-2ac7-4acf-a9b9-c9c405dac5e9" ] } ], "mendeley" : { "previouslyFormattedCitation" : "(Wilson et al., 2011, 2013)" }, "properties" : { "noteIndex" : 0 }, "schema" : "https://github.com/citation-style-language/schema/raw/master/csl-citation.json" }</w:instrText>
      </w:r>
      <w:r w:rsidR="005D2BBB" w:rsidRPr="005E7AA7">
        <w:rPr>
          <w:rFonts w:ascii="Garamond" w:hAnsi="Garamond"/>
          <w:bCs/>
          <w:sz w:val="22"/>
          <w:szCs w:val="22"/>
          <w:lang w:val="en-US"/>
        </w:rPr>
        <w:fldChar w:fldCharType="separate"/>
      </w:r>
      <w:r w:rsidR="006E7CE6" w:rsidRPr="005E7AA7">
        <w:rPr>
          <w:rFonts w:ascii="Garamond" w:hAnsi="Garamond"/>
          <w:bCs/>
          <w:noProof/>
          <w:sz w:val="22"/>
          <w:szCs w:val="22"/>
          <w:lang w:val="en-US"/>
        </w:rPr>
        <w:t>(Wilson et al., 2011, 2013)</w:t>
      </w:r>
      <w:r w:rsidR="005D2BBB" w:rsidRPr="005E7AA7">
        <w:rPr>
          <w:rFonts w:ascii="Garamond" w:hAnsi="Garamond"/>
          <w:bCs/>
          <w:sz w:val="22"/>
          <w:szCs w:val="22"/>
          <w:lang w:val="en-US"/>
        </w:rPr>
        <w:fldChar w:fldCharType="end"/>
      </w:r>
      <w:r w:rsidR="005D2BBB" w:rsidRPr="005E7AA7">
        <w:rPr>
          <w:rFonts w:ascii="Garamond" w:hAnsi="Garamond"/>
          <w:bCs/>
          <w:sz w:val="22"/>
          <w:szCs w:val="22"/>
          <w:lang w:val="en-US"/>
        </w:rPr>
        <w:t>.</w:t>
      </w:r>
      <w:r w:rsidRPr="005E7AA7">
        <w:rPr>
          <w:rFonts w:ascii="Garamond" w:hAnsi="Garamond"/>
          <w:bCs/>
          <w:sz w:val="22"/>
          <w:szCs w:val="22"/>
          <w:lang w:val="en-US"/>
        </w:rPr>
        <w:t xml:space="preserve"> </w:t>
      </w:r>
      <w:r w:rsidR="005D2BBB" w:rsidRPr="005E7AA7">
        <w:rPr>
          <w:rFonts w:ascii="Garamond" w:hAnsi="Garamond"/>
          <w:bCs/>
          <w:sz w:val="22"/>
          <w:szCs w:val="22"/>
          <w:lang w:val="en-US"/>
        </w:rPr>
        <w:t>We</w:t>
      </w:r>
      <w:r w:rsidRPr="005E7AA7">
        <w:rPr>
          <w:rFonts w:ascii="Garamond" w:hAnsi="Garamond"/>
          <w:bCs/>
          <w:sz w:val="22"/>
          <w:szCs w:val="22"/>
          <w:lang w:val="en-US"/>
        </w:rPr>
        <w:t xml:space="preserve"> found they</w:t>
      </w:r>
      <w:r w:rsidR="00F8256D" w:rsidRPr="005E7AA7">
        <w:rPr>
          <w:rFonts w:ascii="Garamond" w:hAnsi="Garamond"/>
          <w:bCs/>
          <w:sz w:val="22"/>
          <w:szCs w:val="22"/>
          <w:lang w:val="en-US"/>
        </w:rPr>
        <w:t xml:space="preserve"> were highly active, overall, spending an average of 120 min per day in moderate-to-vigorous physical activity</w:t>
      </w:r>
      <w:r w:rsidR="00036FEA" w:rsidRPr="005E7AA7">
        <w:rPr>
          <w:rFonts w:ascii="Garamond" w:hAnsi="Garamond"/>
          <w:bCs/>
          <w:sz w:val="22"/>
          <w:szCs w:val="22"/>
          <w:lang w:val="en-US"/>
        </w:rPr>
        <w:t xml:space="preserve"> (MVPA)</w:t>
      </w:r>
      <w:r w:rsidR="00F8256D" w:rsidRPr="005E7AA7">
        <w:rPr>
          <w:rFonts w:ascii="Garamond" w:hAnsi="Garamond"/>
          <w:bCs/>
          <w:sz w:val="22"/>
          <w:szCs w:val="22"/>
          <w:lang w:val="en-US"/>
        </w:rPr>
        <w:t>, which exceeds international</w:t>
      </w:r>
      <w:r w:rsidRPr="005E7AA7">
        <w:rPr>
          <w:rFonts w:ascii="Garamond" w:hAnsi="Garamond"/>
          <w:bCs/>
          <w:sz w:val="22"/>
          <w:szCs w:val="22"/>
          <w:lang w:val="en-US"/>
        </w:rPr>
        <w:t xml:space="preserve"> recommend</w:t>
      </w:r>
      <w:r w:rsidR="00F8256D" w:rsidRPr="005E7AA7">
        <w:rPr>
          <w:rFonts w:ascii="Garamond" w:hAnsi="Garamond"/>
          <w:bCs/>
          <w:sz w:val="22"/>
          <w:szCs w:val="22"/>
          <w:lang w:val="en-US"/>
        </w:rPr>
        <w:t>ations</w:t>
      </w:r>
      <w:r w:rsidRPr="005E7AA7">
        <w:rPr>
          <w:rFonts w:ascii="Garamond" w:hAnsi="Garamond"/>
          <w:bCs/>
          <w:sz w:val="22"/>
          <w:szCs w:val="22"/>
          <w:lang w:val="en-US"/>
        </w:rPr>
        <w:t xml:space="preserve"> for their age and sex</w:t>
      </w:r>
      <w:r w:rsidR="00F8256D" w:rsidRPr="005E7AA7">
        <w:rPr>
          <w:rFonts w:ascii="Garamond" w:hAnsi="Garamond"/>
          <w:bCs/>
          <w:sz w:val="22"/>
          <w:szCs w:val="22"/>
          <w:lang w:val="en-US"/>
        </w:rPr>
        <w:t>.</w:t>
      </w:r>
      <w:r w:rsidRPr="005E7AA7">
        <w:rPr>
          <w:rFonts w:ascii="Garamond" w:hAnsi="Garamond"/>
          <w:bCs/>
          <w:sz w:val="22"/>
          <w:szCs w:val="22"/>
          <w:lang w:val="en-US"/>
        </w:rPr>
        <w:t xml:space="preserve"> </w:t>
      </w:r>
      <w:r w:rsidR="00036FEA" w:rsidRPr="005E7AA7">
        <w:rPr>
          <w:rFonts w:ascii="Garamond" w:hAnsi="Garamond"/>
          <w:bCs/>
          <w:sz w:val="22"/>
          <w:szCs w:val="22"/>
          <w:lang w:val="en-US"/>
        </w:rPr>
        <w:t>Stunted children</w:t>
      </w:r>
      <w:r w:rsidR="006E7CE6" w:rsidRPr="005E7AA7">
        <w:rPr>
          <w:rFonts w:ascii="Garamond" w:hAnsi="Garamond"/>
          <w:bCs/>
          <w:sz w:val="22"/>
          <w:szCs w:val="22"/>
          <w:lang w:val="en-US"/>
        </w:rPr>
        <w:t>, however,</w:t>
      </w:r>
      <w:r w:rsidR="00036FEA" w:rsidRPr="005E7AA7">
        <w:rPr>
          <w:rFonts w:ascii="Garamond" w:hAnsi="Garamond"/>
          <w:bCs/>
          <w:sz w:val="22"/>
          <w:szCs w:val="22"/>
          <w:lang w:val="en-US"/>
        </w:rPr>
        <w:t xml:space="preserve"> spent </w:t>
      </w:r>
      <w:r w:rsidR="00A62201" w:rsidRPr="005E7AA7">
        <w:rPr>
          <w:rFonts w:ascii="Garamond" w:hAnsi="Garamond"/>
          <w:bCs/>
          <w:sz w:val="22"/>
          <w:szCs w:val="22"/>
          <w:lang w:val="en-US"/>
        </w:rPr>
        <w:t xml:space="preserve">significantly </w:t>
      </w:r>
      <w:r w:rsidR="00036FEA" w:rsidRPr="005E7AA7">
        <w:rPr>
          <w:rFonts w:ascii="Garamond" w:hAnsi="Garamond"/>
          <w:bCs/>
          <w:sz w:val="22"/>
          <w:szCs w:val="22"/>
          <w:lang w:val="en-US"/>
        </w:rPr>
        <w:t xml:space="preserve">less time in MVPA, and </w:t>
      </w:r>
      <w:r w:rsidR="00A62201" w:rsidRPr="005E7AA7">
        <w:rPr>
          <w:rFonts w:ascii="Garamond" w:hAnsi="Garamond"/>
          <w:bCs/>
          <w:sz w:val="22"/>
          <w:szCs w:val="22"/>
          <w:lang w:val="en-US"/>
        </w:rPr>
        <w:t>five</w:t>
      </w:r>
      <w:r w:rsidR="00036FEA" w:rsidRPr="005E7AA7">
        <w:rPr>
          <w:rFonts w:ascii="Garamond" w:hAnsi="Garamond"/>
          <w:bCs/>
          <w:sz w:val="22"/>
          <w:szCs w:val="22"/>
          <w:lang w:val="en-US"/>
        </w:rPr>
        <w:t xml:space="preserve"> stunted girls did not achieve the minimum level for MVPA of 60 minutes per day. </w:t>
      </w:r>
      <w:r w:rsidR="006E7CE6" w:rsidRPr="005E7AA7">
        <w:rPr>
          <w:rFonts w:ascii="Garamond" w:hAnsi="Garamond"/>
          <w:bCs/>
          <w:sz w:val="22"/>
          <w:szCs w:val="22"/>
          <w:lang w:val="en-US"/>
        </w:rPr>
        <w:t xml:space="preserve">Further analysis found that children with short stature, measured as a continuous variable, and lower fat free mass </w:t>
      </w:r>
      <w:r w:rsidR="00033477" w:rsidRPr="005E7AA7">
        <w:rPr>
          <w:rFonts w:ascii="Garamond" w:hAnsi="Garamond"/>
          <w:bCs/>
          <w:sz w:val="22"/>
          <w:szCs w:val="22"/>
          <w:lang w:val="en-US"/>
        </w:rPr>
        <w:t xml:space="preserve">(meaning, the skeleton, muscle, and organs of the body, but not the fat) </w:t>
      </w:r>
      <w:r w:rsidR="006E7CE6" w:rsidRPr="005E7AA7">
        <w:rPr>
          <w:rFonts w:ascii="Garamond" w:hAnsi="Garamond"/>
          <w:bCs/>
          <w:sz w:val="22"/>
          <w:szCs w:val="22"/>
          <w:lang w:val="en-US"/>
        </w:rPr>
        <w:t xml:space="preserve">have lower total energy expenditure compared to taller children with higher </w:t>
      </w:r>
      <w:r w:rsidR="00033477" w:rsidRPr="005E7AA7">
        <w:rPr>
          <w:rFonts w:ascii="Garamond" w:hAnsi="Garamond"/>
          <w:bCs/>
          <w:sz w:val="22"/>
          <w:szCs w:val="22"/>
          <w:lang w:val="en-US"/>
        </w:rPr>
        <w:t>fat free mass</w:t>
      </w:r>
      <w:r w:rsidR="006E7CE6" w:rsidRPr="005E7AA7">
        <w:rPr>
          <w:rFonts w:ascii="Garamond" w:hAnsi="Garamond"/>
          <w:bCs/>
          <w:sz w:val="22"/>
          <w:szCs w:val="22"/>
          <w:lang w:val="en-US"/>
        </w:rPr>
        <w:t xml:space="preserve">. </w:t>
      </w:r>
      <w:r w:rsidR="00F8256D" w:rsidRPr="005E7AA7">
        <w:rPr>
          <w:rFonts w:ascii="Garamond" w:hAnsi="Garamond"/>
          <w:bCs/>
          <w:sz w:val="22"/>
          <w:szCs w:val="22"/>
          <w:lang w:val="en-US"/>
        </w:rPr>
        <w:t>The children h</w:t>
      </w:r>
      <w:r w:rsidR="005D2BBB" w:rsidRPr="005E7AA7">
        <w:rPr>
          <w:rFonts w:ascii="Garamond" w:hAnsi="Garamond"/>
          <w:bCs/>
          <w:sz w:val="22"/>
          <w:szCs w:val="22"/>
          <w:lang w:val="en-US"/>
        </w:rPr>
        <w:t xml:space="preserve">ad a mean energy </w:t>
      </w:r>
      <w:r w:rsidR="005D2BBB" w:rsidRPr="005E7AA7">
        <w:rPr>
          <w:rFonts w:ascii="Garamond" w:hAnsi="Garamond"/>
          <w:bCs/>
          <w:sz w:val="22"/>
          <w:szCs w:val="22"/>
          <w:lang w:val="en-US"/>
        </w:rPr>
        <w:lastRenderedPageBreak/>
        <w:t xml:space="preserve">expenditure of </w:t>
      </w:r>
      <w:r w:rsidR="005D2BBB" w:rsidRPr="005E7AA7">
        <w:rPr>
          <w:rFonts w:ascii="Garamond" w:hAnsi="Garamond"/>
          <w:bCs/>
          <w:sz w:val="22"/>
          <w:szCs w:val="22"/>
        </w:rPr>
        <w:t>1986.5 (SD=332.6) kilocalories per day</w:t>
      </w:r>
      <w:r w:rsidRPr="005E7AA7">
        <w:rPr>
          <w:rFonts w:ascii="Garamond" w:hAnsi="Garamond"/>
          <w:bCs/>
          <w:sz w:val="22"/>
          <w:szCs w:val="22"/>
          <w:lang w:val="en-US"/>
        </w:rPr>
        <w:t xml:space="preserve">. </w:t>
      </w:r>
      <w:r w:rsidR="005D2BBB" w:rsidRPr="005E7AA7">
        <w:rPr>
          <w:rFonts w:ascii="Garamond" w:hAnsi="Garamond"/>
          <w:bCs/>
          <w:sz w:val="22"/>
          <w:szCs w:val="22"/>
          <w:lang w:val="en-US"/>
        </w:rPr>
        <w:t xml:space="preserve">This estimate was based on Actiheart reference equations, which were developed based on </w:t>
      </w:r>
      <w:r w:rsidR="00222808" w:rsidRPr="005E7AA7">
        <w:rPr>
          <w:rFonts w:ascii="Garamond" w:hAnsi="Garamond"/>
          <w:bCs/>
          <w:sz w:val="22"/>
          <w:szCs w:val="22"/>
          <w:lang w:val="en-US"/>
        </w:rPr>
        <w:t>white British children</w:t>
      </w:r>
      <w:r w:rsidR="005D2BBB" w:rsidRPr="005E7AA7">
        <w:rPr>
          <w:rFonts w:ascii="Garamond" w:hAnsi="Garamond"/>
          <w:bCs/>
          <w:sz w:val="22"/>
          <w:szCs w:val="22"/>
          <w:lang w:val="en-US"/>
        </w:rPr>
        <w:t xml:space="preserve">, so may not be accurate for Mexican-Maya children. </w:t>
      </w:r>
    </w:p>
    <w:p w:rsidR="00C8674C" w:rsidRPr="005E7AA7" w:rsidRDefault="005177B8" w:rsidP="005E7AA7">
      <w:pPr>
        <w:rPr>
          <w:rFonts w:ascii="Garamond" w:hAnsi="Garamond"/>
          <w:sz w:val="22"/>
          <w:szCs w:val="22"/>
          <w:lang w:val="en-US"/>
        </w:rPr>
      </w:pPr>
      <w:r w:rsidRPr="005E7AA7">
        <w:rPr>
          <w:rFonts w:ascii="Garamond" w:hAnsi="Garamond"/>
          <w:sz w:val="22"/>
          <w:szCs w:val="22"/>
          <w:lang w:val="en-US"/>
        </w:rPr>
        <w:t xml:space="preserve">To estimate the energy intake adequacy of the Maya children in our sample we used their mean group values for age, height, weight, and level of physical activity. </w:t>
      </w:r>
      <w:r w:rsidR="00C8674C" w:rsidRPr="005E7AA7">
        <w:rPr>
          <w:rFonts w:ascii="Garamond" w:hAnsi="Garamond"/>
          <w:sz w:val="22"/>
          <w:szCs w:val="22"/>
          <w:lang w:val="en-US"/>
        </w:rPr>
        <w:t xml:space="preserve">These values are 8.25 years old, 122 cm, 27 kg, and ‘active’ (defined as sedentary activities plus 1-2 hours per day of additional activities reflecting an intensity of 3.0-4.8 Mets). Based on these values, and using the United States references for energy requirements, the Maya children should consume an average of 1920 kcal per day. This would equal a shortfall of 66.5 kcal per day, based on our estimate of mean energy expenditure </w:t>
      </w:r>
      <w:proofErr w:type="gramStart"/>
      <w:r w:rsidR="00C8674C" w:rsidRPr="005E7AA7">
        <w:rPr>
          <w:rFonts w:ascii="Garamond" w:hAnsi="Garamond"/>
          <w:sz w:val="22"/>
          <w:szCs w:val="22"/>
          <w:lang w:val="en-US"/>
        </w:rPr>
        <w:t>of 1986.5 kcal/day</w:t>
      </w:r>
      <w:proofErr w:type="gramEnd"/>
      <w:r w:rsidR="00C8674C" w:rsidRPr="005E7AA7">
        <w:rPr>
          <w:rFonts w:ascii="Garamond" w:hAnsi="Garamond"/>
          <w:sz w:val="22"/>
          <w:szCs w:val="22"/>
          <w:lang w:val="en-US"/>
        </w:rPr>
        <w:t xml:space="preserve">.  </w:t>
      </w:r>
    </w:p>
    <w:p w:rsidR="00260172" w:rsidRPr="005E7AA7" w:rsidRDefault="00B8011F" w:rsidP="005E7AA7">
      <w:pPr>
        <w:rPr>
          <w:rFonts w:ascii="Garamond" w:hAnsi="Garamond"/>
          <w:bCs/>
          <w:sz w:val="22"/>
          <w:szCs w:val="22"/>
          <w:lang w:val="en-US"/>
        </w:rPr>
      </w:pPr>
      <w:r w:rsidRPr="005E7AA7">
        <w:rPr>
          <w:rFonts w:ascii="Garamond" w:hAnsi="Garamond"/>
          <w:bCs/>
          <w:sz w:val="22"/>
          <w:szCs w:val="22"/>
          <w:lang w:val="en-US"/>
        </w:rPr>
        <w:t>If these Maya children were deficient in total energy intake they should be under-weight or, at best, normal weight. However, more than 25% are overweight or obese</w:t>
      </w:r>
      <w:r w:rsidR="00FF5FD4" w:rsidRPr="005E7AA7">
        <w:rPr>
          <w:rFonts w:ascii="Garamond" w:hAnsi="Garamond"/>
          <w:bCs/>
          <w:sz w:val="22"/>
          <w:szCs w:val="22"/>
          <w:lang w:val="en-US"/>
        </w:rPr>
        <w:t xml:space="preserve"> and only 5% are under-weight </w:t>
      </w:r>
      <w:r w:rsidR="00FF5FD4"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"abstract" : "This paper focuses on the phenomenon of the nutritional dual-burden in the developing world. Nutritional dual-burden is defined as the coexistence of under-and-over nutrition in the same population/group, the same household/family, or the same person. In this paper we aim: a) to describe the different types of nutritional dual-burden, b) to identify the anthropometric indicators generally used to classify the nutritional dual-burden, c) to focus our attention on a dual-burden group (the Maya from Merida, Yucatan, Mexico), d) to illustrate problems in the categorization of the dual-burden, and e) to suggest possible health implications. Our results show that, for our sample, the prevalence of individual dual-burden among children is very low, but is very high among the mothers and for mother-child pairs (household dual-burden). Most importantly, the criteria used to assess the nutritional status of the individuals and of the families will play an important role in the estimated prevalence of nutritional dual-burden, and this will have practical impacts for health intervention programs.", "author" : [ { "dropping-particle" : "", "family" : "Varela-Silva", "given" : "Maria In\u00eas", "non-dropping-particle" : "", "parse-names" : false, "suffix" : "" }, { "dropping-particle" : "", "family" : "Dickinson", "given" : "Federico", "non-dropping-particle" : "", "parse-names" : false, "suffix" : "" }, { "dropping-particle" : "", "family" : "Wilson", "given" : "Hannah", "non-dropping-particle" : "", "parse-names" : false, "suffix" : "" }, { "dropping-particle" : "", "family" : "Azcorra", "given" : "Hugo", "non-dropping-particle" : "", "parse-names" : false, "suffix" : "" }, { "dropping-particle" : "", "family" : "Griffiths", "given" : "Paula Louise", "non-dropping-particle" : "", "parse-names" : false, "suffix" : "" }, { "dropping-particle" : "", "family" : "Bogin", "given" : "Barry", "non-dropping-particle" : "", "parse-names" : false, "suffix" : "" } ], "container-title" : "Collegium antropologicum", "id" : "ITEM-1", "issue" : "1", "issued" : { "date-parts" : [ [ "2012", "3" ] ] }, "page" : "39-45", "title" : "The nutritional dual-burden in developing countries--how is it assessed and what are the health implications?", "type" : "article-journal", "volume" : "36" }, "uris" : [ "http://www.mendeley.com/documents/?uuid=a1721e0b-e65d-4d3f-a7d9-a22122f365c6" ] } ], "mendeley" : { "previouslyFormattedCitation" : "(Varela-Silva et al., 2012)" }, "properties" : { "noteIndex" : 0 }, "schema" : "https://github.com/citation-style-language/schema/raw/master/csl-citation.json" }</w:instrText>
      </w:r>
      <w:r w:rsidR="00FF5FD4" w:rsidRPr="005E7AA7">
        <w:rPr>
          <w:rFonts w:ascii="Garamond" w:hAnsi="Garamond"/>
          <w:bCs/>
          <w:sz w:val="22"/>
          <w:szCs w:val="22"/>
          <w:lang w:val="en-US"/>
        </w:rPr>
        <w:fldChar w:fldCharType="separate"/>
      </w:r>
      <w:r w:rsidR="00FF5FD4" w:rsidRPr="005E7AA7">
        <w:rPr>
          <w:rFonts w:ascii="Garamond" w:hAnsi="Garamond"/>
          <w:bCs/>
          <w:noProof/>
          <w:sz w:val="22"/>
          <w:szCs w:val="22"/>
          <w:lang w:val="en-US"/>
        </w:rPr>
        <w:t>(Varela-Silva et al., 2012)</w:t>
      </w:r>
      <w:r w:rsidR="00FF5FD4" w:rsidRPr="005E7AA7">
        <w:rPr>
          <w:rFonts w:ascii="Garamond" w:hAnsi="Garamond"/>
          <w:bCs/>
          <w:sz w:val="22"/>
          <w:szCs w:val="22"/>
          <w:lang w:val="en-US"/>
        </w:rPr>
        <w:fldChar w:fldCharType="end"/>
      </w:r>
      <w:r w:rsidRPr="005E7AA7">
        <w:rPr>
          <w:rFonts w:ascii="Garamond" w:hAnsi="Garamond"/>
          <w:bCs/>
          <w:sz w:val="22"/>
          <w:szCs w:val="22"/>
          <w:lang w:val="en-US"/>
        </w:rPr>
        <w:t xml:space="preserve">. </w:t>
      </w:r>
      <w:r w:rsidR="00C8674C" w:rsidRPr="005E7AA7">
        <w:rPr>
          <w:rFonts w:ascii="Garamond" w:hAnsi="Garamond"/>
          <w:sz w:val="22"/>
          <w:szCs w:val="22"/>
          <w:lang w:val="en-US"/>
        </w:rPr>
        <w:t xml:space="preserve">Obviously, we either overestimated the energy expenditure of the children in our sample, or more likely the children are eating more </w:t>
      </w:r>
      <w:r w:rsidRPr="005E7AA7">
        <w:rPr>
          <w:rFonts w:ascii="Garamond" w:hAnsi="Garamond"/>
          <w:sz w:val="22"/>
          <w:szCs w:val="22"/>
          <w:lang w:val="en-US"/>
        </w:rPr>
        <w:t xml:space="preserve">kilocalories </w:t>
      </w:r>
      <w:r w:rsidR="00C8674C" w:rsidRPr="005E7AA7">
        <w:rPr>
          <w:rFonts w:ascii="Garamond" w:hAnsi="Garamond"/>
          <w:sz w:val="22"/>
          <w:szCs w:val="22"/>
          <w:lang w:val="en-US"/>
        </w:rPr>
        <w:t>than the</w:t>
      </w:r>
      <w:r w:rsidRPr="005E7AA7">
        <w:rPr>
          <w:rFonts w:ascii="Garamond" w:hAnsi="Garamond"/>
          <w:sz w:val="22"/>
          <w:szCs w:val="22"/>
          <w:lang w:val="en-US"/>
        </w:rPr>
        <w:t>y expend in basic metabolism and physical activity.</w:t>
      </w:r>
      <w:r w:rsidR="00F02034" w:rsidRPr="005E7AA7">
        <w:rPr>
          <w:rFonts w:ascii="Garamond" w:hAnsi="Garamond"/>
          <w:bCs/>
          <w:sz w:val="22"/>
          <w:szCs w:val="22"/>
          <w:lang w:val="en-US"/>
        </w:rPr>
        <w:t xml:space="preserve"> </w:t>
      </w:r>
    </w:p>
    <w:p w:rsidR="006A79DD" w:rsidRPr="005E7AA7" w:rsidRDefault="00B8011F" w:rsidP="005E7AA7">
      <w:pPr>
        <w:rPr>
          <w:rFonts w:ascii="Garamond" w:hAnsi="Garamond"/>
          <w:bCs/>
          <w:sz w:val="22"/>
          <w:szCs w:val="22"/>
          <w:lang w:val="en-US"/>
        </w:rPr>
      </w:pPr>
      <w:r w:rsidRPr="005E7AA7">
        <w:rPr>
          <w:rFonts w:ascii="Garamond" w:hAnsi="Garamond"/>
          <w:bCs/>
          <w:sz w:val="22"/>
          <w:szCs w:val="22"/>
          <w:lang w:val="en-US"/>
        </w:rPr>
        <w:t>Energy imbal</w:t>
      </w:r>
      <w:r w:rsidR="002833DD" w:rsidRPr="005E7AA7">
        <w:rPr>
          <w:rFonts w:ascii="Garamond" w:hAnsi="Garamond"/>
          <w:bCs/>
          <w:sz w:val="22"/>
          <w:szCs w:val="22"/>
          <w:lang w:val="en-US"/>
        </w:rPr>
        <w:t>an</w:t>
      </w:r>
      <w:r w:rsidRPr="005E7AA7">
        <w:rPr>
          <w:rFonts w:ascii="Garamond" w:hAnsi="Garamond"/>
          <w:bCs/>
          <w:sz w:val="22"/>
          <w:szCs w:val="22"/>
          <w:lang w:val="en-US"/>
        </w:rPr>
        <w:t xml:space="preserve">ce does not, however, explain the short stature and overweight/obesity of our Maya children and their mothers. </w:t>
      </w:r>
      <w:r w:rsidR="00260172" w:rsidRPr="005E7AA7">
        <w:rPr>
          <w:rFonts w:ascii="Garamond" w:hAnsi="Garamond"/>
          <w:bCs/>
          <w:sz w:val="22"/>
          <w:szCs w:val="22"/>
          <w:lang w:val="en-US"/>
        </w:rPr>
        <w:t>An explanation for the nutritional-dual burden of the Maya children may be that their diet is deficient in essential nutrients, but not in fact deficient in total energy. As shown in Figure 3, essential nutrient deficiencies, episodic energy imbalances</w:t>
      </w:r>
      <w:r w:rsidR="006E7CE6" w:rsidRPr="005E7AA7">
        <w:rPr>
          <w:rFonts w:ascii="Garamond" w:hAnsi="Garamond"/>
          <w:bCs/>
          <w:sz w:val="22"/>
          <w:szCs w:val="22"/>
          <w:lang w:val="en-US"/>
        </w:rPr>
        <w:t xml:space="preserve"> </w:t>
      </w:r>
      <w:r w:rsidR="00260172" w:rsidRPr="005E7AA7">
        <w:rPr>
          <w:rFonts w:ascii="Garamond" w:hAnsi="Garamond"/>
          <w:bCs/>
          <w:sz w:val="22"/>
          <w:szCs w:val="22"/>
          <w:lang w:val="en-US"/>
        </w:rPr>
        <w:t>due to illness</w:t>
      </w:r>
      <w:r w:rsidR="006759B8" w:rsidRPr="005E7AA7">
        <w:rPr>
          <w:rFonts w:ascii="Garamond" w:hAnsi="Garamond"/>
          <w:bCs/>
          <w:sz w:val="22"/>
          <w:szCs w:val="22"/>
          <w:lang w:val="en-US"/>
        </w:rPr>
        <w:t xml:space="preserve"> and food insecurity</w:t>
      </w:r>
      <w:r w:rsidR="00260172" w:rsidRPr="005E7AA7">
        <w:rPr>
          <w:rFonts w:ascii="Garamond" w:hAnsi="Garamond"/>
          <w:bCs/>
          <w:sz w:val="22"/>
          <w:szCs w:val="22"/>
          <w:lang w:val="en-US"/>
        </w:rPr>
        <w:t>, and a globalized diet lead to not only shorter stature, but also decreased muscle mass</w:t>
      </w:r>
      <w:r w:rsidR="006E7CE6" w:rsidRPr="005E7AA7">
        <w:rPr>
          <w:rFonts w:ascii="Garamond" w:hAnsi="Garamond"/>
          <w:bCs/>
          <w:sz w:val="22"/>
          <w:szCs w:val="22"/>
          <w:lang w:val="en-US"/>
        </w:rPr>
        <w:t xml:space="preserve">, the primary determinant of </w:t>
      </w:r>
      <w:r w:rsidR="00A5357C" w:rsidRPr="005E7AA7">
        <w:rPr>
          <w:rFonts w:ascii="Garamond" w:hAnsi="Garamond"/>
          <w:bCs/>
          <w:sz w:val="22"/>
          <w:szCs w:val="22"/>
          <w:lang w:val="en-US"/>
        </w:rPr>
        <w:t>fat free mass</w:t>
      </w:r>
      <w:r w:rsidR="00260172" w:rsidRPr="005E7AA7">
        <w:rPr>
          <w:rFonts w:ascii="Garamond" w:hAnsi="Garamond"/>
          <w:bCs/>
          <w:sz w:val="22"/>
          <w:szCs w:val="22"/>
          <w:lang w:val="en-US"/>
        </w:rPr>
        <w:t xml:space="preserve">. </w:t>
      </w:r>
      <w:r w:rsidR="006E7CE6" w:rsidRPr="005E7AA7">
        <w:rPr>
          <w:rFonts w:ascii="Garamond" w:hAnsi="Garamond"/>
          <w:bCs/>
          <w:sz w:val="22"/>
          <w:szCs w:val="22"/>
          <w:lang w:val="en-US"/>
        </w:rPr>
        <w:t xml:space="preserve">The </w:t>
      </w:r>
      <w:r w:rsidR="00A5357C" w:rsidRPr="005E7AA7">
        <w:rPr>
          <w:rFonts w:ascii="Garamond" w:hAnsi="Garamond"/>
          <w:bCs/>
          <w:sz w:val="22"/>
          <w:szCs w:val="22"/>
          <w:lang w:val="en-US"/>
        </w:rPr>
        <w:t>fat free mass</w:t>
      </w:r>
      <w:r w:rsidR="006E7CE6" w:rsidRPr="005E7AA7">
        <w:rPr>
          <w:rFonts w:ascii="Garamond" w:hAnsi="Garamond"/>
          <w:bCs/>
          <w:sz w:val="22"/>
          <w:szCs w:val="22"/>
          <w:lang w:val="en-US"/>
        </w:rPr>
        <w:t xml:space="preserve"> is a major component of total energy expenditure</w:t>
      </w:r>
      <w:r w:rsidR="006A79DD" w:rsidRPr="005E7AA7">
        <w:rPr>
          <w:rFonts w:ascii="Garamond" w:hAnsi="Garamond"/>
          <w:bCs/>
          <w:sz w:val="22"/>
          <w:szCs w:val="22"/>
          <w:lang w:val="en-US"/>
        </w:rPr>
        <w:t>, which may be expressed</w:t>
      </w:r>
      <w:r w:rsidR="007D614A" w:rsidRPr="005E7AA7">
        <w:rPr>
          <w:rFonts w:ascii="Garamond" w:hAnsi="Garamond"/>
          <w:bCs/>
          <w:sz w:val="22"/>
          <w:szCs w:val="22"/>
          <w:lang w:val="en-US"/>
        </w:rPr>
        <w:t xml:space="preserve"> simply</w:t>
      </w:r>
      <w:r w:rsidR="006A79DD" w:rsidRPr="005E7AA7">
        <w:rPr>
          <w:rFonts w:ascii="Garamond" w:hAnsi="Garamond"/>
          <w:bCs/>
          <w:sz w:val="22"/>
          <w:szCs w:val="22"/>
          <w:lang w:val="en-US"/>
        </w:rPr>
        <w:t xml:space="preserve"> as </w:t>
      </w:r>
      <w:r w:rsidR="007B0160" w:rsidRPr="005E7AA7">
        <w:rPr>
          <w:rFonts w:ascii="Garamond" w:hAnsi="Garamond"/>
          <w:bCs/>
          <w:sz w:val="22"/>
          <w:szCs w:val="22"/>
          <w:lang w:val="en-US"/>
        </w:rPr>
        <w:t xml:space="preserve">the sum of </w:t>
      </w:r>
      <w:r w:rsidR="006E7CE6" w:rsidRPr="005E7AA7">
        <w:rPr>
          <w:rFonts w:ascii="Garamond" w:hAnsi="Garamond"/>
          <w:bCs/>
          <w:sz w:val="22"/>
          <w:szCs w:val="22"/>
          <w:lang w:val="en-US"/>
        </w:rPr>
        <w:t xml:space="preserve">basal metabolism </w:t>
      </w:r>
      <w:r w:rsidR="007B0160" w:rsidRPr="005E7AA7">
        <w:rPr>
          <w:rFonts w:ascii="Garamond" w:hAnsi="Garamond"/>
          <w:bCs/>
          <w:sz w:val="22"/>
          <w:szCs w:val="22"/>
          <w:lang w:val="en-US"/>
        </w:rPr>
        <w:t xml:space="preserve">plus </w:t>
      </w:r>
      <w:r w:rsidR="006E7CE6" w:rsidRPr="005E7AA7">
        <w:rPr>
          <w:rFonts w:ascii="Garamond" w:hAnsi="Garamond"/>
          <w:bCs/>
          <w:sz w:val="22"/>
          <w:szCs w:val="22"/>
          <w:lang w:val="en-US"/>
        </w:rPr>
        <w:t>physical activit</w:t>
      </w:r>
      <w:r w:rsidR="006A79DD" w:rsidRPr="005E7AA7">
        <w:rPr>
          <w:rFonts w:ascii="Garamond" w:hAnsi="Garamond"/>
          <w:bCs/>
          <w:sz w:val="22"/>
          <w:szCs w:val="22"/>
          <w:lang w:val="en-US"/>
        </w:rPr>
        <w:t>y</w:t>
      </w:r>
      <w:r w:rsidR="006E7CE6" w:rsidRPr="005E7AA7">
        <w:rPr>
          <w:rFonts w:ascii="Garamond" w:hAnsi="Garamond"/>
          <w:bCs/>
          <w:sz w:val="22"/>
          <w:szCs w:val="22"/>
          <w:lang w:val="en-US"/>
        </w:rPr>
        <w:t xml:space="preserve">. </w:t>
      </w:r>
      <w:r w:rsidR="006A79DD" w:rsidRPr="005E7AA7">
        <w:rPr>
          <w:rFonts w:ascii="Garamond" w:hAnsi="Garamond"/>
          <w:bCs/>
          <w:sz w:val="22"/>
          <w:szCs w:val="22"/>
          <w:lang w:val="en-US"/>
        </w:rPr>
        <w:t xml:space="preserve">Short stature and decreased muscle mass in Maya children will reduce </w:t>
      </w:r>
      <w:r w:rsidR="007B0160" w:rsidRPr="005E7AA7">
        <w:rPr>
          <w:rFonts w:ascii="Garamond" w:hAnsi="Garamond"/>
          <w:bCs/>
          <w:sz w:val="22"/>
          <w:szCs w:val="22"/>
          <w:lang w:val="en-US"/>
        </w:rPr>
        <w:t xml:space="preserve">total energy expenditure and </w:t>
      </w:r>
      <w:r w:rsidR="006A79DD" w:rsidRPr="005E7AA7">
        <w:rPr>
          <w:rFonts w:ascii="Garamond" w:hAnsi="Garamond"/>
          <w:bCs/>
          <w:sz w:val="22"/>
          <w:szCs w:val="22"/>
          <w:lang w:val="en-US"/>
        </w:rPr>
        <w:t>the requirements for total energy intake</w:t>
      </w:r>
      <w:r w:rsidR="007B0160" w:rsidRPr="005E7AA7">
        <w:rPr>
          <w:rFonts w:ascii="Garamond" w:hAnsi="Garamond"/>
          <w:bCs/>
          <w:sz w:val="22"/>
          <w:szCs w:val="22"/>
          <w:lang w:val="en-US"/>
        </w:rPr>
        <w:t xml:space="preserve"> </w:t>
      </w:r>
      <w:r w:rsidR="007B0160"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"DOI" : "10.3109/03014460.2012.714403", "ISSN" : "1464-5033", "PMID" : "23035655", "abstract" : "BACKGROUND: Childhood stunting has been associated with an increased risk of obesity in adulthood, but the causes are unclear. This study hypothesizes that stunting significantly reduces both resting and activity energy expenditure.\n\nAIM: To assess and describe energy expenditure of low socio-economic Maya children and to determine whether stunting is independently related to energy expenditure after controlling for lean mass.\n\nSUBJECTS AND METHODS: Thirty-three urban Maya children, 17 boys, aged 7-9 years, living in Merida, Mexico, were measured for height, weight and bioelectrical impedance analysis (BIA). Body composition was estimated from BIA. Energy expenditure was measured for one week using the Actiheart (combined heart rate and accelerometer).\n\nRESULTS: Stunting (height-for-age below the 5(th) percentile of NHANES III based references) affected 35% of these physically active children. Using multiple linear regression analysis, greater lean body mass predicted higher resting and activity energy expenditure. Stature was not a significant predictor of resting energy expenditure. A lower height-for-age z-score, but not stunting as a categorical variable, significantly predicted lower activity energy expenditure.\n\nCONCLUSION: The hypothesis that stunting reduces total energy expenditure (resting + active) in children is not supported. Rather, children with shorter stature and less lean body mass have lower total energy expenditure. Complex interactions between body size, body composition, and metabolic activity appear to elevate the risk for later life obesity in these Maya children.", "author" : [ { "dropping-particle" : "", "family" : "Wilson", "given" : "Hannah J", "non-dropping-particle" : "", "parse-names" : false, "suffix" : "" }, { "dropping-particle" : "", "family" : "Dickinson", "given" : "Federico", "non-dropping-particle" : "", "parse-names" : false, "suffix" : "" }, { "dropping-particle" : "", "family" : "Hoffman", "given" : "Daniel J", "non-dropping-particle" : "", "parse-names" : false, "suffix" : "" }, { "dropping-particle" : "", "family" : "Griffiths", "given" : "Paula L", "non-dropping-particle" : "", "parse-names" : false, "suffix" : "" }, { "dropping-particle" : "", "family" : "Bogin", "given" : "Barry", "non-dropping-particle" : "", "parse-names" : false, "suffix" : "" }, { "dropping-particle" : "", "family" : "Varela-Silva", "given" : "Maria In\u00eas", "non-dropping-particle" : "", "parse-names" : false, "suffix" : "" } ], "container-title" : "Annals of human biology", "id" : "ITEM-1", "issue" : "5", "issued" : { "date-parts" : [ [ "2012", "9" ] ] }, "page" : "432-9", "title" : "Fat free mass explains the relationship between stunting and energy expenditure in urban Mexican Maya children.", "type" : "article-journal", "volume" : "39" }, "uris" : [ "http://www.mendeley.com/documents/?uuid=8968df24-b848-4d72-bfc7-7ec53e92667e" ] } ], "mendeley" : { "previouslyFormattedCitation" : "(Wilson et al., 2012)" }, "properties" : { "noteIndex" : 0 }, "schema" : "https://github.com/citation-style-language/schema/raw/master/csl-citation.json" }</w:instrText>
      </w:r>
      <w:r w:rsidR="007B0160" w:rsidRPr="005E7AA7">
        <w:rPr>
          <w:rFonts w:ascii="Garamond" w:hAnsi="Garamond"/>
          <w:bCs/>
          <w:sz w:val="22"/>
          <w:szCs w:val="22"/>
          <w:lang w:val="en-US"/>
        </w:rPr>
        <w:fldChar w:fldCharType="separate"/>
      </w:r>
      <w:r w:rsidR="007B0160" w:rsidRPr="005E7AA7">
        <w:rPr>
          <w:rFonts w:ascii="Garamond" w:hAnsi="Garamond"/>
          <w:bCs/>
          <w:noProof/>
          <w:sz w:val="22"/>
          <w:szCs w:val="22"/>
          <w:lang w:val="en-US"/>
        </w:rPr>
        <w:t>(Wilson et al., 2012)</w:t>
      </w:r>
      <w:r w:rsidR="007B0160" w:rsidRPr="005E7AA7">
        <w:rPr>
          <w:rFonts w:ascii="Garamond" w:hAnsi="Garamond"/>
          <w:bCs/>
          <w:sz w:val="22"/>
          <w:szCs w:val="22"/>
          <w:lang w:val="en-US"/>
        </w:rPr>
        <w:fldChar w:fldCharType="end"/>
      </w:r>
      <w:r w:rsidR="006A79DD" w:rsidRPr="005E7AA7">
        <w:rPr>
          <w:rFonts w:ascii="Garamond" w:hAnsi="Garamond"/>
          <w:bCs/>
          <w:sz w:val="22"/>
          <w:szCs w:val="22"/>
          <w:lang w:val="en-US"/>
        </w:rPr>
        <w:t>. An 8 year old girl</w:t>
      </w:r>
      <w:r w:rsidR="007D614A" w:rsidRPr="005E7AA7">
        <w:rPr>
          <w:rFonts w:ascii="Garamond" w:hAnsi="Garamond"/>
          <w:bCs/>
          <w:sz w:val="22"/>
          <w:szCs w:val="22"/>
          <w:lang w:val="en-US"/>
        </w:rPr>
        <w:t>, for example,</w:t>
      </w:r>
      <w:r w:rsidR="006A79DD" w:rsidRPr="005E7AA7">
        <w:rPr>
          <w:rFonts w:ascii="Garamond" w:hAnsi="Garamond"/>
          <w:bCs/>
          <w:sz w:val="22"/>
          <w:szCs w:val="22"/>
          <w:lang w:val="en-US"/>
        </w:rPr>
        <w:t xml:space="preserve"> who is 1</w:t>
      </w:r>
      <w:r w:rsidR="00C11752" w:rsidRPr="005E7AA7">
        <w:rPr>
          <w:rFonts w:ascii="Garamond" w:hAnsi="Garamond"/>
          <w:bCs/>
          <w:sz w:val="22"/>
          <w:szCs w:val="22"/>
          <w:lang w:val="en-US"/>
        </w:rPr>
        <w:t>24 cm tall</w:t>
      </w:r>
      <w:r w:rsidR="006A79DD" w:rsidRPr="005E7AA7">
        <w:rPr>
          <w:rFonts w:ascii="Garamond" w:hAnsi="Garamond"/>
          <w:bCs/>
          <w:sz w:val="22"/>
          <w:szCs w:val="22"/>
          <w:lang w:val="en-US"/>
        </w:rPr>
        <w:t xml:space="preserve"> requires </w:t>
      </w:r>
      <w:r w:rsidR="00C11752" w:rsidRPr="005E7AA7">
        <w:rPr>
          <w:rFonts w:ascii="Garamond" w:hAnsi="Garamond"/>
          <w:bCs/>
          <w:sz w:val="22"/>
          <w:szCs w:val="22"/>
          <w:lang w:val="en-US"/>
        </w:rPr>
        <w:t xml:space="preserve">about </w:t>
      </w:r>
      <w:r w:rsidR="006A79DD" w:rsidRPr="005E7AA7">
        <w:rPr>
          <w:rFonts w:ascii="Garamond" w:hAnsi="Garamond"/>
          <w:bCs/>
          <w:sz w:val="22"/>
          <w:szCs w:val="22"/>
          <w:lang w:val="en-US"/>
        </w:rPr>
        <w:t xml:space="preserve">150kcal less per day than a girl of </w:t>
      </w:r>
      <w:r w:rsidR="00C11752" w:rsidRPr="005E7AA7">
        <w:rPr>
          <w:rFonts w:ascii="Garamond" w:hAnsi="Garamond"/>
          <w:bCs/>
          <w:sz w:val="22"/>
          <w:szCs w:val="22"/>
          <w:lang w:val="en-US"/>
        </w:rPr>
        <w:t>the same age who is 131 cm tall</w:t>
      </w:r>
      <w:r w:rsidR="006A79DD" w:rsidRPr="005E7AA7">
        <w:rPr>
          <w:rFonts w:ascii="Garamond" w:hAnsi="Garamond"/>
          <w:bCs/>
          <w:sz w:val="22"/>
          <w:szCs w:val="22"/>
          <w:lang w:val="en-US"/>
        </w:rPr>
        <w:t xml:space="preserve">. If the short girl consumes the ‘extra’ 150 kcal per day, then she may gain about </w:t>
      </w:r>
      <w:r w:rsidR="00C11752" w:rsidRPr="005E7AA7">
        <w:rPr>
          <w:rFonts w:ascii="Garamond" w:hAnsi="Garamond"/>
          <w:bCs/>
          <w:sz w:val="22"/>
          <w:szCs w:val="22"/>
          <w:lang w:val="en-US"/>
        </w:rPr>
        <w:t>1.25 pounds</w:t>
      </w:r>
      <w:r w:rsidR="006A79DD" w:rsidRPr="005E7AA7">
        <w:rPr>
          <w:rFonts w:ascii="Garamond" w:hAnsi="Garamond"/>
          <w:bCs/>
          <w:sz w:val="22"/>
          <w:szCs w:val="22"/>
          <w:lang w:val="en-US"/>
        </w:rPr>
        <w:t xml:space="preserve"> </w:t>
      </w:r>
      <w:r w:rsidR="00C11752" w:rsidRPr="005E7AA7">
        <w:rPr>
          <w:rFonts w:ascii="Garamond" w:hAnsi="Garamond"/>
          <w:bCs/>
          <w:sz w:val="22"/>
          <w:szCs w:val="22"/>
          <w:lang w:val="en-US"/>
        </w:rPr>
        <w:t xml:space="preserve">of </w:t>
      </w:r>
      <w:r w:rsidR="006A79DD" w:rsidRPr="005E7AA7">
        <w:rPr>
          <w:rFonts w:ascii="Garamond" w:hAnsi="Garamond"/>
          <w:bCs/>
          <w:sz w:val="22"/>
          <w:szCs w:val="22"/>
          <w:lang w:val="en-US"/>
        </w:rPr>
        <w:t xml:space="preserve">body fat </w:t>
      </w:r>
      <w:r w:rsidR="00C11752" w:rsidRPr="005E7AA7">
        <w:rPr>
          <w:rFonts w:ascii="Garamond" w:hAnsi="Garamond"/>
          <w:bCs/>
          <w:sz w:val="22"/>
          <w:szCs w:val="22"/>
          <w:lang w:val="en-US"/>
        </w:rPr>
        <w:t xml:space="preserve">in 30 days, </w:t>
      </w:r>
      <w:r w:rsidR="006A79DD" w:rsidRPr="005E7AA7">
        <w:rPr>
          <w:rFonts w:ascii="Garamond" w:hAnsi="Garamond"/>
          <w:bCs/>
          <w:sz w:val="22"/>
          <w:szCs w:val="22"/>
          <w:lang w:val="en-US"/>
        </w:rPr>
        <w:t xml:space="preserve">assuming that </w:t>
      </w:r>
      <w:r w:rsidR="00C11752" w:rsidRPr="005E7AA7">
        <w:rPr>
          <w:rFonts w:ascii="Garamond" w:hAnsi="Garamond"/>
          <w:bCs/>
          <w:sz w:val="22"/>
          <w:szCs w:val="22"/>
          <w:lang w:val="en-US"/>
        </w:rPr>
        <w:t>35</w:t>
      </w:r>
      <w:r w:rsidR="006A79DD" w:rsidRPr="005E7AA7">
        <w:rPr>
          <w:rFonts w:ascii="Garamond" w:hAnsi="Garamond"/>
          <w:bCs/>
          <w:sz w:val="22"/>
          <w:szCs w:val="22"/>
          <w:lang w:val="en-US"/>
        </w:rPr>
        <w:t xml:space="preserve">00kcal = </w:t>
      </w:r>
      <w:r w:rsidR="00C11752" w:rsidRPr="005E7AA7">
        <w:rPr>
          <w:rFonts w:ascii="Garamond" w:hAnsi="Garamond"/>
          <w:bCs/>
          <w:sz w:val="22"/>
          <w:szCs w:val="22"/>
          <w:lang w:val="en-US"/>
        </w:rPr>
        <w:t>1.0 pounds</w:t>
      </w:r>
      <w:r w:rsidR="006A79DD" w:rsidRPr="005E7AA7">
        <w:rPr>
          <w:rFonts w:ascii="Garamond" w:hAnsi="Garamond"/>
          <w:bCs/>
          <w:sz w:val="22"/>
          <w:szCs w:val="22"/>
          <w:lang w:val="en-US"/>
        </w:rPr>
        <w:t xml:space="preserve"> of body fat.     </w:t>
      </w:r>
    </w:p>
    <w:p w:rsidR="0081175F" w:rsidRPr="005E7AA7" w:rsidRDefault="00532BE0" w:rsidP="005E7AA7">
      <w:pPr>
        <w:rPr>
          <w:rFonts w:ascii="Garamond" w:hAnsi="Garamond"/>
          <w:bCs/>
          <w:sz w:val="22"/>
          <w:szCs w:val="22"/>
          <w:lang w:val="en-US"/>
        </w:rPr>
      </w:pPr>
      <w:r w:rsidRPr="005E7AA7">
        <w:rPr>
          <w:rFonts w:ascii="Garamond" w:hAnsi="Garamond"/>
          <w:bCs/>
          <w:sz w:val="22"/>
          <w:szCs w:val="22"/>
          <w:lang w:val="en-US"/>
        </w:rPr>
        <w:t>An increased risk for</w:t>
      </w:r>
      <w:r w:rsidR="00CC0600" w:rsidRPr="005E7AA7">
        <w:rPr>
          <w:rFonts w:ascii="Garamond" w:hAnsi="Garamond"/>
          <w:bCs/>
          <w:sz w:val="22"/>
          <w:szCs w:val="22"/>
          <w:lang w:val="en-US"/>
        </w:rPr>
        <w:t xml:space="preserve"> </w:t>
      </w:r>
      <w:r w:rsidRPr="005E7AA7">
        <w:rPr>
          <w:rFonts w:ascii="Garamond" w:hAnsi="Garamond"/>
          <w:bCs/>
          <w:sz w:val="22"/>
          <w:szCs w:val="22"/>
          <w:lang w:val="en-US"/>
        </w:rPr>
        <w:t xml:space="preserve">elevated </w:t>
      </w:r>
      <w:r w:rsidR="00CC0600" w:rsidRPr="005E7AA7">
        <w:rPr>
          <w:rFonts w:ascii="Garamond" w:hAnsi="Garamond"/>
          <w:bCs/>
          <w:sz w:val="22"/>
          <w:szCs w:val="22"/>
          <w:lang w:val="en-US"/>
        </w:rPr>
        <w:t xml:space="preserve">body fat </w:t>
      </w:r>
      <w:r w:rsidRPr="005E7AA7">
        <w:rPr>
          <w:rFonts w:ascii="Garamond" w:hAnsi="Garamond"/>
          <w:bCs/>
          <w:sz w:val="22"/>
          <w:szCs w:val="22"/>
          <w:lang w:val="en-US"/>
        </w:rPr>
        <w:t>for</w:t>
      </w:r>
      <w:r w:rsidR="00CC0600" w:rsidRPr="005E7AA7">
        <w:rPr>
          <w:rFonts w:ascii="Garamond" w:hAnsi="Garamond"/>
          <w:bCs/>
          <w:sz w:val="22"/>
          <w:szCs w:val="22"/>
          <w:lang w:val="en-US"/>
        </w:rPr>
        <w:t xml:space="preserve"> short stature</w:t>
      </w:r>
      <w:r w:rsidRPr="005E7AA7">
        <w:rPr>
          <w:rFonts w:ascii="Garamond" w:hAnsi="Garamond"/>
          <w:bCs/>
          <w:sz w:val="22"/>
          <w:szCs w:val="22"/>
          <w:lang w:val="en-US"/>
        </w:rPr>
        <w:t>d</w:t>
      </w:r>
      <w:r w:rsidR="00CC0600" w:rsidRPr="005E7AA7">
        <w:rPr>
          <w:rFonts w:ascii="Garamond" w:hAnsi="Garamond"/>
          <w:bCs/>
          <w:sz w:val="22"/>
          <w:szCs w:val="22"/>
          <w:lang w:val="en-US"/>
        </w:rPr>
        <w:t xml:space="preserve"> children </w:t>
      </w:r>
      <w:r w:rsidR="00260172" w:rsidRPr="005E7AA7">
        <w:rPr>
          <w:rFonts w:ascii="Garamond" w:hAnsi="Garamond"/>
          <w:bCs/>
          <w:sz w:val="22"/>
          <w:szCs w:val="22"/>
          <w:lang w:val="en-US"/>
        </w:rPr>
        <w:t xml:space="preserve">may be exacerbated by high amounts of </w:t>
      </w:r>
      <w:r w:rsidRPr="005E7AA7">
        <w:rPr>
          <w:rFonts w:ascii="Garamond" w:hAnsi="Garamond"/>
          <w:bCs/>
          <w:sz w:val="22"/>
          <w:szCs w:val="22"/>
          <w:lang w:val="en-US"/>
        </w:rPr>
        <w:t>sedentary behavior</w:t>
      </w:r>
      <w:r w:rsidR="00260172" w:rsidRPr="005E7AA7">
        <w:rPr>
          <w:rFonts w:ascii="Garamond" w:hAnsi="Garamond"/>
          <w:bCs/>
          <w:sz w:val="22"/>
          <w:szCs w:val="22"/>
          <w:lang w:val="en-US"/>
        </w:rPr>
        <w:t xml:space="preserve">. While we measured physical activity we did not measure sedentary behavior. </w:t>
      </w:r>
      <w:r w:rsidR="00E25BD0" w:rsidRPr="005E7AA7">
        <w:rPr>
          <w:rFonts w:ascii="Garamond" w:hAnsi="Garamond"/>
          <w:bCs/>
          <w:sz w:val="22"/>
          <w:szCs w:val="22"/>
          <w:lang w:val="en-US"/>
        </w:rPr>
        <w:t xml:space="preserve">The British Heart Foundation explains that, “Sedentary </w:t>
      </w:r>
      <w:proofErr w:type="spellStart"/>
      <w:r w:rsidR="00E25BD0" w:rsidRPr="005E7AA7">
        <w:rPr>
          <w:rFonts w:ascii="Garamond" w:hAnsi="Garamond"/>
          <w:bCs/>
          <w:sz w:val="22"/>
          <w:szCs w:val="22"/>
          <w:lang w:val="en-US"/>
        </w:rPr>
        <w:t>behaviour</w:t>
      </w:r>
      <w:proofErr w:type="spellEnd"/>
      <w:r w:rsidR="00E25BD0" w:rsidRPr="005E7AA7">
        <w:rPr>
          <w:rFonts w:ascii="Garamond" w:hAnsi="Garamond"/>
          <w:bCs/>
          <w:sz w:val="22"/>
          <w:szCs w:val="22"/>
          <w:lang w:val="en-US"/>
        </w:rPr>
        <w:t xml:space="preserve"> is not defined simply as a lack of physical activity. </w:t>
      </w:r>
      <w:proofErr w:type="gramStart"/>
      <w:r w:rsidR="00E25BD0" w:rsidRPr="005E7AA7">
        <w:rPr>
          <w:rFonts w:ascii="Garamond" w:hAnsi="Garamond"/>
          <w:bCs/>
          <w:sz w:val="22"/>
          <w:szCs w:val="22"/>
          <w:lang w:val="en-US"/>
        </w:rPr>
        <w:t xml:space="preserve">It is a group of </w:t>
      </w:r>
      <w:proofErr w:type="spellStart"/>
      <w:r w:rsidR="00E25BD0" w:rsidRPr="005E7AA7">
        <w:rPr>
          <w:rFonts w:ascii="Garamond" w:hAnsi="Garamond"/>
          <w:bCs/>
          <w:sz w:val="22"/>
          <w:szCs w:val="22"/>
          <w:lang w:val="en-US"/>
        </w:rPr>
        <w:t>behaviours</w:t>
      </w:r>
      <w:proofErr w:type="spellEnd"/>
      <w:r w:rsidR="00E25BD0" w:rsidRPr="005E7AA7">
        <w:rPr>
          <w:rFonts w:ascii="Garamond" w:hAnsi="Garamond"/>
          <w:bCs/>
          <w:sz w:val="22"/>
          <w:szCs w:val="22"/>
          <w:lang w:val="en-US"/>
        </w:rPr>
        <w:t xml:space="preserve"> that occur whilst sitting or lying down and that require very low energy expenditure</w:t>
      </w:r>
      <w:r w:rsidR="00911F39" w:rsidRPr="005E7AA7">
        <w:rPr>
          <w:rFonts w:ascii="Garamond" w:hAnsi="Garamond"/>
          <w:bCs/>
          <w:sz w:val="22"/>
          <w:szCs w:val="22"/>
          <w:lang w:val="en-US"/>
        </w:rPr>
        <w:t xml:space="preserve">” </w:t>
      </w:r>
      <w:r w:rsidR="00E25BD0" w:rsidRPr="005E7AA7">
        <w:rPr>
          <w:rFonts w:ascii="Garamond" w:hAnsi="Garamond"/>
          <w:bCs/>
          <w:sz w:val="22"/>
          <w:szCs w:val="22"/>
          <w:lang w:val="en-US"/>
        </w:rPr>
        <w:t>(</w:t>
      </w:r>
      <w:hyperlink r:id="rId19" w:history="1">
        <w:r w:rsidR="00E25BD0" w:rsidRPr="005E7AA7">
          <w:rPr>
            <w:rStyle w:val="Hyperlink"/>
            <w:rFonts w:ascii="Garamond" w:hAnsi="Garamond"/>
            <w:bCs/>
            <w:sz w:val="22"/>
            <w:szCs w:val="22"/>
          </w:rPr>
          <w:t>http://www.bhfactive.org.uk/userfiles/Documents/whatissedentarybehaviour.pdf</w:t>
        </w:r>
      </w:hyperlink>
      <w:r w:rsidR="00E25BD0" w:rsidRPr="005E7AA7">
        <w:rPr>
          <w:rFonts w:ascii="Garamond" w:hAnsi="Garamond"/>
          <w:bCs/>
          <w:sz w:val="22"/>
          <w:szCs w:val="22"/>
          <w:lang w:val="en-US"/>
        </w:rPr>
        <w:t>).</w:t>
      </w:r>
      <w:proofErr w:type="gramEnd"/>
      <w:r w:rsidR="00E25BD0" w:rsidRPr="005E7AA7">
        <w:rPr>
          <w:rFonts w:ascii="Garamond" w:hAnsi="Garamond"/>
          <w:bCs/>
          <w:sz w:val="22"/>
          <w:szCs w:val="22"/>
          <w:lang w:val="en-US"/>
        </w:rPr>
        <w:t xml:space="preserve"> Reading a book while seated is an example of a sedentary behavior. Exercising while seated, such as using a rowing machine, is physical activity and not sedentary behavior. Maya children may run, play and do other activities to meet</w:t>
      </w:r>
      <w:r w:rsidR="00CC0600" w:rsidRPr="005E7AA7">
        <w:rPr>
          <w:rFonts w:ascii="Garamond" w:hAnsi="Garamond"/>
          <w:bCs/>
          <w:sz w:val="22"/>
          <w:szCs w:val="22"/>
          <w:lang w:val="en-US"/>
        </w:rPr>
        <w:t xml:space="preserve"> the 60 minutes per day </w:t>
      </w:r>
      <w:r w:rsidR="00911F39" w:rsidRPr="005E7AA7">
        <w:rPr>
          <w:rFonts w:ascii="Garamond" w:hAnsi="Garamond"/>
          <w:bCs/>
          <w:sz w:val="22"/>
          <w:szCs w:val="22"/>
          <w:lang w:val="en-US"/>
        </w:rPr>
        <w:t xml:space="preserve">requirement </w:t>
      </w:r>
      <w:r w:rsidR="00CC0600" w:rsidRPr="005E7AA7">
        <w:rPr>
          <w:rFonts w:ascii="Garamond" w:hAnsi="Garamond"/>
          <w:bCs/>
          <w:sz w:val="22"/>
          <w:szCs w:val="22"/>
          <w:lang w:val="en-US"/>
        </w:rPr>
        <w:t>for MVPA, but our ethnographic observations, and those of many other fieldwork</w:t>
      </w:r>
      <w:r w:rsidR="00EA65E6" w:rsidRPr="005E7AA7">
        <w:rPr>
          <w:rFonts w:ascii="Garamond" w:hAnsi="Garamond"/>
          <w:bCs/>
          <w:sz w:val="22"/>
          <w:szCs w:val="22"/>
          <w:lang w:val="en-US"/>
        </w:rPr>
        <w:t>er</w:t>
      </w:r>
      <w:r w:rsidR="00CC0600" w:rsidRPr="005E7AA7">
        <w:rPr>
          <w:rFonts w:ascii="Garamond" w:hAnsi="Garamond"/>
          <w:bCs/>
          <w:sz w:val="22"/>
          <w:szCs w:val="22"/>
          <w:lang w:val="en-US"/>
        </w:rPr>
        <w:t>s</w:t>
      </w:r>
      <w:r w:rsidR="00EA65E6" w:rsidRPr="005E7AA7">
        <w:rPr>
          <w:rFonts w:ascii="Garamond" w:hAnsi="Garamond"/>
          <w:bCs/>
          <w:sz w:val="22"/>
          <w:szCs w:val="22"/>
          <w:lang w:val="en-US"/>
        </w:rPr>
        <w:t xml:space="preserve"> since the time of Sol Tax’s studies of highland Maya weavers </w:t>
      </w:r>
      <w:r w:rsidR="00805868"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"author" : [ { "dropping-particle" : "", "family" : "Tax", "given" : "Sol", "non-dropping-particle" : "", "parse-names" : false, "suffix" : "" } ], "id" : "ITEM-1", "issued" : { "date-parts" : [ [ "1953" ] ] }, "publisher" : "Smithsonian Institution Press", "publisher-place" : "Washington, DC", "title" : "Penny Capitalism: A Guatemalan Indian Economy", "type" : "book" }, "uris" : [ "http://www.mendeley.com/documents/?uuid=178ecf61-d6cc-4e04-8dba-b1f07686ffdf" ] } ], "mendeley" : { "previouslyFormattedCitation" : "(Tax, 1953)" }, "properties" : { "noteIndex" : 0 }, "schema" : "https://github.com/citation-style-language/schema/raw/master/csl-citation.json" }</w:instrText>
      </w:r>
      <w:r w:rsidR="00805868" w:rsidRPr="005E7AA7">
        <w:rPr>
          <w:rFonts w:ascii="Garamond" w:hAnsi="Garamond"/>
          <w:bCs/>
          <w:sz w:val="22"/>
          <w:szCs w:val="22"/>
          <w:lang w:val="en-US"/>
        </w:rPr>
        <w:fldChar w:fldCharType="separate"/>
      </w:r>
      <w:r w:rsidR="00805868" w:rsidRPr="005E7AA7">
        <w:rPr>
          <w:rFonts w:ascii="Garamond" w:hAnsi="Garamond"/>
          <w:bCs/>
          <w:noProof/>
          <w:sz w:val="22"/>
          <w:szCs w:val="22"/>
          <w:lang w:val="en-US"/>
        </w:rPr>
        <w:t>(Tax, 1953)</w:t>
      </w:r>
      <w:r w:rsidR="00805868" w:rsidRPr="005E7AA7">
        <w:rPr>
          <w:rFonts w:ascii="Garamond" w:hAnsi="Garamond"/>
          <w:bCs/>
          <w:sz w:val="22"/>
          <w:szCs w:val="22"/>
          <w:lang w:val="en-US"/>
        </w:rPr>
        <w:fldChar w:fldCharType="end"/>
      </w:r>
      <w:r w:rsidR="00CC0600" w:rsidRPr="005E7AA7">
        <w:rPr>
          <w:rFonts w:ascii="Garamond" w:hAnsi="Garamond"/>
          <w:bCs/>
          <w:sz w:val="22"/>
          <w:szCs w:val="22"/>
          <w:lang w:val="en-US"/>
        </w:rPr>
        <w:t xml:space="preserve">, find that Maya children </w:t>
      </w:r>
      <w:r w:rsidR="004C1FF7" w:rsidRPr="005E7AA7">
        <w:rPr>
          <w:rFonts w:ascii="Garamond" w:hAnsi="Garamond"/>
          <w:bCs/>
          <w:sz w:val="22"/>
          <w:szCs w:val="22"/>
          <w:lang w:val="en-US"/>
        </w:rPr>
        <w:t xml:space="preserve">and adults </w:t>
      </w:r>
      <w:r w:rsidR="00CC0600" w:rsidRPr="005E7AA7">
        <w:rPr>
          <w:rFonts w:ascii="Garamond" w:hAnsi="Garamond"/>
          <w:bCs/>
          <w:sz w:val="22"/>
          <w:szCs w:val="22"/>
          <w:lang w:val="en-US"/>
        </w:rPr>
        <w:t xml:space="preserve">practice more sedentary behavior than </w:t>
      </w:r>
      <w:r w:rsidR="006B500D" w:rsidRPr="005E7AA7">
        <w:rPr>
          <w:rFonts w:ascii="Garamond" w:hAnsi="Garamond"/>
          <w:bCs/>
          <w:sz w:val="22"/>
          <w:szCs w:val="22"/>
          <w:lang w:val="en-US"/>
        </w:rPr>
        <w:t>better nourished Mexican and European children</w:t>
      </w:r>
      <w:r w:rsidR="004C1FF7" w:rsidRPr="005E7AA7">
        <w:rPr>
          <w:rFonts w:ascii="Garamond" w:hAnsi="Garamond"/>
          <w:bCs/>
          <w:sz w:val="22"/>
          <w:szCs w:val="22"/>
          <w:lang w:val="en-US"/>
        </w:rPr>
        <w:t xml:space="preserve"> and adults</w:t>
      </w:r>
      <w:r w:rsidR="00805868" w:rsidRPr="005E7AA7">
        <w:rPr>
          <w:rFonts w:ascii="Garamond" w:hAnsi="Garamond"/>
          <w:bCs/>
          <w:sz w:val="22"/>
          <w:szCs w:val="22"/>
          <w:lang w:val="en-US"/>
        </w:rPr>
        <w:t>.</w:t>
      </w:r>
      <w:r w:rsidR="00FF5FD4" w:rsidRPr="005E7AA7">
        <w:rPr>
          <w:rFonts w:ascii="Garamond" w:hAnsi="Garamond"/>
          <w:bCs/>
          <w:sz w:val="22"/>
          <w:szCs w:val="22"/>
          <w:lang w:val="en-US"/>
        </w:rPr>
        <w:t xml:space="preserve"> Tax reported that Maya girls learning to weave are able to sit almost motionless for hours at a time while watching an older women weave. During our fieldwork in Guatemala, Mexico and the United States we have observed Maya children sit, almost motionless, while we took measurements on their classmates. Non-May</w:t>
      </w:r>
      <w:r w:rsidR="00997E1F" w:rsidRPr="005E7AA7">
        <w:rPr>
          <w:rFonts w:ascii="Garamond" w:hAnsi="Garamond"/>
          <w:bCs/>
          <w:sz w:val="22"/>
          <w:szCs w:val="22"/>
          <w:lang w:val="en-US"/>
        </w:rPr>
        <w:t>a</w:t>
      </w:r>
      <w:r w:rsidR="00FF5FD4" w:rsidRPr="005E7AA7">
        <w:rPr>
          <w:rFonts w:ascii="Garamond" w:hAnsi="Garamond"/>
          <w:bCs/>
          <w:sz w:val="22"/>
          <w:szCs w:val="22"/>
          <w:lang w:val="en-US"/>
        </w:rPr>
        <w:t xml:space="preserve"> children in these same countries are more often moving and playing while waiting to be measured (</w:t>
      </w:r>
      <w:proofErr w:type="spellStart"/>
      <w:r w:rsidR="00FF5FD4" w:rsidRPr="005E7AA7">
        <w:rPr>
          <w:rFonts w:ascii="Garamond" w:hAnsi="Garamond"/>
          <w:bCs/>
          <w:sz w:val="22"/>
          <w:szCs w:val="22"/>
          <w:lang w:val="en-US"/>
        </w:rPr>
        <w:t>Bogin</w:t>
      </w:r>
      <w:proofErr w:type="spellEnd"/>
      <w:r w:rsidR="00FF5FD4" w:rsidRPr="005E7AA7">
        <w:rPr>
          <w:rFonts w:ascii="Garamond" w:hAnsi="Garamond"/>
          <w:bCs/>
          <w:sz w:val="22"/>
          <w:szCs w:val="22"/>
          <w:lang w:val="en-US"/>
        </w:rPr>
        <w:t xml:space="preserve"> and Varela-Silva, </w:t>
      </w:r>
      <w:proofErr w:type="spellStart"/>
      <w:r w:rsidR="00FF5FD4" w:rsidRPr="005E7AA7">
        <w:rPr>
          <w:rFonts w:ascii="Garamond" w:hAnsi="Garamond"/>
          <w:bCs/>
          <w:sz w:val="22"/>
          <w:szCs w:val="22"/>
          <w:lang w:val="en-US"/>
        </w:rPr>
        <w:t>fieldnotes</w:t>
      </w:r>
      <w:proofErr w:type="spellEnd"/>
      <w:r w:rsidR="00FF5FD4" w:rsidRPr="005E7AA7">
        <w:rPr>
          <w:rFonts w:ascii="Garamond" w:hAnsi="Garamond"/>
          <w:bCs/>
          <w:sz w:val="22"/>
          <w:szCs w:val="22"/>
          <w:lang w:val="en-US"/>
        </w:rPr>
        <w:t>).</w:t>
      </w:r>
      <w:r w:rsidR="00805868" w:rsidRPr="005E7AA7">
        <w:rPr>
          <w:rFonts w:ascii="Garamond" w:hAnsi="Garamond"/>
          <w:bCs/>
          <w:sz w:val="22"/>
          <w:szCs w:val="22"/>
          <w:lang w:val="en-US"/>
        </w:rPr>
        <w:t xml:space="preserve"> The synergistic effects of smaller stature, lower </w:t>
      </w:r>
      <w:r w:rsidR="00A5357C" w:rsidRPr="005E7AA7">
        <w:rPr>
          <w:rFonts w:ascii="Garamond" w:hAnsi="Garamond"/>
          <w:bCs/>
          <w:sz w:val="22"/>
          <w:szCs w:val="22"/>
          <w:lang w:val="en-US"/>
        </w:rPr>
        <w:t>fat free mass</w:t>
      </w:r>
      <w:r w:rsidR="00805868" w:rsidRPr="005E7AA7">
        <w:rPr>
          <w:rFonts w:ascii="Garamond" w:hAnsi="Garamond"/>
          <w:bCs/>
          <w:sz w:val="22"/>
          <w:szCs w:val="22"/>
          <w:lang w:val="en-US"/>
        </w:rPr>
        <w:t>, sedentary behavior</w:t>
      </w:r>
      <w:r w:rsidR="004C1FF7" w:rsidRPr="005E7AA7">
        <w:rPr>
          <w:rFonts w:ascii="Garamond" w:hAnsi="Garamond"/>
          <w:bCs/>
          <w:sz w:val="22"/>
          <w:szCs w:val="22"/>
          <w:lang w:val="en-US"/>
        </w:rPr>
        <w:t>, and a globalized diet</w:t>
      </w:r>
      <w:r w:rsidR="00805868" w:rsidRPr="005E7AA7">
        <w:rPr>
          <w:rFonts w:ascii="Garamond" w:hAnsi="Garamond"/>
          <w:bCs/>
          <w:sz w:val="22"/>
          <w:szCs w:val="22"/>
          <w:lang w:val="en-US"/>
        </w:rPr>
        <w:t xml:space="preserve"> may work to increase body fat, resulting in the nutritional dual-burden that plagues the Maya communities of Merida and elsewhere (e.g., </w:t>
      </w:r>
      <w:r w:rsidR="00805868"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"ISSN" : "00384941", "abstract" : "Objective. We explore how the health, as measured by physical growth, of children in Guatemalan Maya families is impacted by immigration to the United States. Methods. We analyze anthropometric data on Maya children in Guatemala and in the United States. In addition, we use survey data from the Maya-American children and their parents about lifestyle and SES to examine the factors associated with overweight and obesity. Results. The Maya-American children are on average 10 centimeters taller, indicating better health. However, nearly half the Maya-American children are overweight and 42 percent are obese. Children who report watching TV or playing computer games as one of their favorite leisure time activities face a higher chance of being overweight. Conclusion. Immigration from Guatemala to the United States improves the health of children in that they generally grow taller. However, immigration also raises the risk of weight problems, increasing the likelihood of health problems such as hypertension and diabetes.", "author" : [ { "dropping-particle" : "", "family" : "Smith", "given" : "P K", "non-dropping-particle" : "", "parse-names" : false, "suffix" : "" }, { "dropping-particle" : "", "family" : "Bogin", "given" : "B", "non-dropping-particle" : "", "parse-names" : false, "suffix" : "" }, { "dropping-particle" : "", "family" : "Varela-Silva", "given" : "M I", "non-dropping-particle" : "", "parse-names" : false, "suffix" : "" }, { "dropping-particle" : "", "family" : "Orden", "given" : "B", "non-dropping-particle" : "", "parse-names" : false, "suffix" : "" }, { "dropping-particle" : "", "family" : "Loucky", "given" : "J", "non-dropping-particle" : "", "parse-names" : false, "suffix" : "" } ], "container-title" : "Social Science Quarterly", "id" : "ITEM-1", "issue" : "4", "issued" : { "date-parts" : [ [ "2002" ] ] }, "page" : "994-1002", "title" : "Does immigration help or harm childrens health? The Mayan case", "type" : "article-journal", "volume" : "83" }, "uris" : [ "http://www.mendeley.com/documents/?uuid=8979ec5c-3087-4675-a345-cabc6669676f" ] } ], "mendeley" : { "manualFormatting" : "Smith et al., 2002)", "previouslyFormattedCitation" : "(Smith et al., 2002)" }, "properties" : { "noteIndex" : 0 }, "schema" : "https://github.com/citation-style-language/schema/raw/master/csl-citation.json" }</w:instrText>
      </w:r>
      <w:r w:rsidR="00805868" w:rsidRPr="005E7AA7">
        <w:rPr>
          <w:rFonts w:ascii="Garamond" w:hAnsi="Garamond"/>
          <w:bCs/>
          <w:sz w:val="22"/>
          <w:szCs w:val="22"/>
          <w:lang w:val="en-US"/>
        </w:rPr>
        <w:fldChar w:fldCharType="separate"/>
      </w:r>
      <w:r w:rsidR="00805868" w:rsidRPr="005E7AA7">
        <w:rPr>
          <w:rFonts w:ascii="Garamond" w:hAnsi="Garamond"/>
          <w:bCs/>
          <w:noProof/>
          <w:sz w:val="22"/>
          <w:szCs w:val="22"/>
          <w:lang w:val="en-US"/>
        </w:rPr>
        <w:t>Smith et al., 2002)</w:t>
      </w:r>
      <w:r w:rsidR="00805868" w:rsidRPr="005E7AA7">
        <w:rPr>
          <w:rFonts w:ascii="Garamond" w:hAnsi="Garamond"/>
          <w:bCs/>
          <w:sz w:val="22"/>
          <w:szCs w:val="22"/>
          <w:lang w:val="en-US"/>
        </w:rPr>
        <w:fldChar w:fldCharType="end"/>
      </w:r>
      <w:r w:rsidR="00805868" w:rsidRPr="005E7AA7">
        <w:rPr>
          <w:rFonts w:ascii="Garamond" w:hAnsi="Garamond"/>
          <w:bCs/>
          <w:sz w:val="22"/>
          <w:szCs w:val="22"/>
          <w:lang w:val="en-US"/>
        </w:rPr>
        <w:t>.</w:t>
      </w:r>
      <w:r w:rsidR="00B86957" w:rsidRPr="005E7AA7">
        <w:rPr>
          <w:rFonts w:ascii="Garamond" w:hAnsi="Garamond"/>
          <w:bCs/>
          <w:sz w:val="22"/>
          <w:szCs w:val="22"/>
          <w:lang w:val="en-US"/>
        </w:rPr>
        <w:t xml:space="preserve"> </w:t>
      </w:r>
    </w:p>
    <w:p w:rsidR="00CB418A" w:rsidRPr="005E7AA7" w:rsidRDefault="004C1FF7" w:rsidP="005E7AA7">
      <w:pPr>
        <w:rPr>
          <w:rFonts w:ascii="Garamond" w:hAnsi="Garamond"/>
          <w:bCs/>
          <w:sz w:val="22"/>
          <w:szCs w:val="22"/>
          <w:lang w:val="en-US"/>
        </w:rPr>
      </w:pPr>
      <w:r w:rsidRPr="005E7AA7">
        <w:rPr>
          <w:rFonts w:ascii="Garamond" w:hAnsi="Garamond"/>
          <w:bCs/>
          <w:sz w:val="22"/>
          <w:szCs w:val="22"/>
          <w:lang w:val="en-US"/>
        </w:rPr>
        <w:lastRenderedPageBreak/>
        <w:t xml:space="preserve">The globalized diet is especially </w:t>
      </w:r>
      <w:r w:rsidR="00D11631" w:rsidRPr="005E7AA7">
        <w:rPr>
          <w:rFonts w:ascii="Garamond" w:hAnsi="Garamond"/>
          <w:bCs/>
          <w:sz w:val="22"/>
          <w:szCs w:val="22"/>
          <w:lang w:val="en-US"/>
        </w:rPr>
        <w:t>problematic as this diet is high in fat, relative to carbohydrates</w:t>
      </w:r>
      <w:r w:rsidR="00911F39" w:rsidRPr="005E7AA7">
        <w:rPr>
          <w:rFonts w:ascii="Garamond" w:hAnsi="Garamond"/>
          <w:bCs/>
          <w:sz w:val="22"/>
          <w:szCs w:val="22"/>
          <w:lang w:val="en-US"/>
        </w:rPr>
        <w:t>,</w:t>
      </w:r>
      <w:r w:rsidR="00D11631" w:rsidRPr="005E7AA7">
        <w:rPr>
          <w:rFonts w:ascii="Garamond" w:hAnsi="Garamond"/>
          <w:bCs/>
          <w:sz w:val="22"/>
          <w:szCs w:val="22"/>
          <w:lang w:val="en-US"/>
        </w:rPr>
        <w:t xml:space="preserve"> and high in sugars, especially from processed foods</w:t>
      </w:r>
      <w:r w:rsidR="00B8011F" w:rsidRPr="005E7AA7">
        <w:rPr>
          <w:rFonts w:ascii="Garamond" w:hAnsi="Garamond"/>
          <w:bCs/>
          <w:sz w:val="22"/>
          <w:szCs w:val="22"/>
          <w:lang w:val="en-US"/>
        </w:rPr>
        <w:t xml:space="preserve"> such as soft drinks and packaged junk foods</w:t>
      </w:r>
      <w:r w:rsidR="00D11631" w:rsidRPr="005E7AA7">
        <w:rPr>
          <w:rFonts w:ascii="Garamond" w:hAnsi="Garamond"/>
          <w:bCs/>
          <w:sz w:val="22"/>
          <w:szCs w:val="22"/>
          <w:lang w:val="en-US"/>
        </w:rPr>
        <w:t xml:space="preserve">. </w:t>
      </w:r>
      <w:r w:rsidR="00911F39" w:rsidRPr="005E7AA7">
        <w:rPr>
          <w:rFonts w:ascii="Garamond" w:hAnsi="Garamond"/>
          <w:bCs/>
          <w:sz w:val="22"/>
          <w:szCs w:val="22"/>
          <w:lang w:val="en-US"/>
        </w:rPr>
        <w:t>Fats are more than twice as energy dense as carbohydrates, but often are nutrient poor.</w:t>
      </w:r>
      <w:r w:rsidR="00F135AF" w:rsidRPr="005E7AA7">
        <w:rPr>
          <w:rFonts w:ascii="Garamond" w:hAnsi="Garamond"/>
          <w:bCs/>
          <w:sz w:val="22"/>
          <w:szCs w:val="22"/>
          <w:lang w:val="en-US"/>
        </w:rPr>
        <w:t xml:space="preserve"> Sugars provide an attractive taste, but few essential nutrients. </w:t>
      </w:r>
      <w:r w:rsidR="00CB418A" w:rsidRPr="005E7AA7">
        <w:rPr>
          <w:rFonts w:ascii="Garamond" w:hAnsi="Garamond"/>
          <w:bCs/>
          <w:sz w:val="22"/>
          <w:szCs w:val="22"/>
          <w:lang w:val="en-US"/>
        </w:rPr>
        <w:t>Based on our ethnographic observations and interviews with the mothers and, occasionally other family members</w:t>
      </w:r>
      <w:r w:rsidR="00050E53" w:rsidRPr="005E7AA7">
        <w:rPr>
          <w:rFonts w:ascii="Garamond" w:hAnsi="Garamond"/>
          <w:bCs/>
          <w:sz w:val="22"/>
          <w:szCs w:val="22"/>
          <w:lang w:val="en-US"/>
        </w:rPr>
        <w:t>,</w:t>
      </w:r>
      <w:r w:rsidR="00CB418A" w:rsidRPr="005E7AA7">
        <w:rPr>
          <w:rFonts w:ascii="Garamond" w:hAnsi="Garamond"/>
          <w:bCs/>
          <w:sz w:val="22"/>
          <w:szCs w:val="22"/>
          <w:lang w:val="en-US"/>
        </w:rPr>
        <w:t xml:space="preserve"> we understand that the patterns of food consumption reported represent a strategy to adapt to the low purchasing power of the families. Many of the products and foods frequently consumed are sold at low prices in the small stores (</w:t>
      </w:r>
      <w:proofErr w:type="spellStart"/>
      <w:r w:rsidR="00CB418A" w:rsidRPr="005E7AA7">
        <w:rPr>
          <w:rFonts w:ascii="Garamond" w:hAnsi="Garamond"/>
          <w:bCs/>
          <w:i/>
          <w:iCs/>
          <w:sz w:val="22"/>
          <w:szCs w:val="22"/>
          <w:lang w:val="en-US"/>
        </w:rPr>
        <w:t>tiendas</w:t>
      </w:r>
      <w:proofErr w:type="spellEnd"/>
      <w:r w:rsidR="00CB418A" w:rsidRPr="005E7AA7">
        <w:rPr>
          <w:rFonts w:ascii="Garamond" w:hAnsi="Garamond"/>
          <w:bCs/>
          <w:sz w:val="22"/>
          <w:szCs w:val="22"/>
          <w:lang w:val="en-US"/>
        </w:rPr>
        <w:t>) of the neighborhood. These products satisfy immediate hunger and energy requirements of the family and also satisfy desire for good tasting food and drink</w:t>
      </w:r>
      <w:r w:rsidR="00532BE0" w:rsidRPr="005E7AA7">
        <w:rPr>
          <w:rFonts w:ascii="Garamond" w:hAnsi="Garamond"/>
          <w:bCs/>
          <w:sz w:val="22"/>
          <w:szCs w:val="22"/>
          <w:lang w:val="en-US"/>
        </w:rPr>
        <w:t>. During fieldwork in Yucatan we have been told that when people eat bread (</w:t>
      </w:r>
      <w:r w:rsidR="00532BE0" w:rsidRPr="005E7AA7">
        <w:rPr>
          <w:rFonts w:ascii="Garamond" w:hAnsi="Garamond"/>
          <w:bCs/>
          <w:i/>
          <w:sz w:val="22"/>
          <w:szCs w:val="22"/>
          <w:lang w:val="en-US"/>
        </w:rPr>
        <w:t xml:space="preserve">pan </w:t>
      </w:r>
      <w:proofErr w:type="spellStart"/>
      <w:r w:rsidR="00532BE0" w:rsidRPr="005E7AA7">
        <w:rPr>
          <w:rFonts w:ascii="Garamond" w:hAnsi="Garamond"/>
          <w:bCs/>
          <w:i/>
          <w:sz w:val="22"/>
          <w:szCs w:val="22"/>
          <w:lang w:val="en-US"/>
        </w:rPr>
        <w:t>francés</w:t>
      </w:r>
      <w:proofErr w:type="spellEnd"/>
      <w:r w:rsidR="00532BE0" w:rsidRPr="005E7AA7">
        <w:rPr>
          <w:rFonts w:ascii="Garamond" w:hAnsi="Garamond"/>
          <w:bCs/>
          <w:i/>
          <w:sz w:val="22"/>
          <w:szCs w:val="22"/>
          <w:lang w:val="en-US"/>
        </w:rPr>
        <w:t xml:space="preserve"> </w:t>
      </w:r>
      <w:r w:rsidR="00532BE0" w:rsidRPr="005E7AA7">
        <w:rPr>
          <w:rFonts w:ascii="Garamond" w:hAnsi="Garamond"/>
          <w:bCs/>
          <w:sz w:val="22"/>
          <w:szCs w:val="22"/>
          <w:lang w:val="en-US"/>
        </w:rPr>
        <w:t>or</w:t>
      </w:r>
      <w:r w:rsidR="00532BE0" w:rsidRPr="005E7AA7">
        <w:rPr>
          <w:rFonts w:ascii="Garamond" w:hAnsi="Garamond"/>
          <w:bCs/>
          <w:i/>
          <w:sz w:val="22"/>
          <w:szCs w:val="22"/>
          <w:lang w:val="en-US"/>
        </w:rPr>
        <w:t xml:space="preserve"> pan </w:t>
      </w:r>
      <w:proofErr w:type="spellStart"/>
      <w:r w:rsidR="00532BE0" w:rsidRPr="005E7AA7">
        <w:rPr>
          <w:rFonts w:ascii="Garamond" w:hAnsi="Garamond"/>
          <w:bCs/>
          <w:i/>
          <w:sz w:val="22"/>
          <w:szCs w:val="22"/>
          <w:lang w:val="en-US"/>
        </w:rPr>
        <w:t>dulce</w:t>
      </w:r>
      <w:proofErr w:type="spellEnd"/>
      <w:r w:rsidR="00532BE0" w:rsidRPr="005E7AA7">
        <w:rPr>
          <w:rFonts w:ascii="Garamond" w:hAnsi="Garamond"/>
          <w:bCs/>
          <w:sz w:val="22"/>
          <w:szCs w:val="22"/>
          <w:lang w:val="en-US"/>
        </w:rPr>
        <w:t xml:space="preserve">) and drink a Coke, their stomach becomes full and the sensation of hunger disappear (Federico Dickinson, </w:t>
      </w:r>
      <w:proofErr w:type="spellStart"/>
      <w:r w:rsidR="00532BE0" w:rsidRPr="005E7AA7">
        <w:rPr>
          <w:rFonts w:ascii="Garamond" w:hAnsi="Garamond"/>
          <w:bCs/>
          <w:sz w:val="22"/>
          <w:szCs w:val="22"/>
          <w:lang w:val="en-US"/>
        </w:rPr>
        <w:t>fieldnotes</w:t>
      </w:r>
      <w:proofErr w:type="spellEnd"/>
      <w:r w:rsidR="00532BE0" w:rsidRPr="005E7AA7">
        <w:rPr>
          <w:rFonts w:ascii="Garamond" w:hAnsi="Garamond"/>
          <w:bCs/>
          <w:sz w:val="22"/>
          <w:szCs w:val="22"/>
          <w:lang w:val="en-US"/>
        </w:rPr>
        <w:t>)</w:t>
      </w:r>
      <w:r w:rsidR="00CB418A" w:rsidRPr="005E7AA7">
        <w:rPr>
          <w:rFonts w:ascii="Garamond" w:hAnsi="Garamond"/>
          <w:bCs/>
          <w:sz w:val="22"/>
          <w:szCs w:val="22"/>
          <w:lang w:val="en-US"/>
        </w:rPr>
        <w:t xml:space="preserve">. </w:t>
      </w:r>
      <w:r w:rsidR="00FB6382" w:rsidRPr="005E7AA7">
        <w:rPr>
          <w:rFonts w:ascii="Garamond" w:hAnsi="Garamond"/>
          <w:bCs/>
          <w:sz w:val="22"/>
          <w:szCs w:val="22"/>
          <w:lang w:val="en-US"/>
        </w:rPr>
        <w:t>Food economists working with low SES populations have shown that the importance of taste is as important, or a bit more important, than the cost and the nutri</w:t>
      </w:r>
      <w:r w:rsidR="00050E53" w:rsidRPr="005E7AA7">
        <w:rPr>
          <w:rFonts w:ascii="Garamond" w:hAnsi="Garamond"/>
          <w:bCs/>
          <w:sz w:val="22"/>
          <w:szCs w:val="22"/>
          <w:lang w:val="en-US"/>
        </w:rPr>
        <w:t xml:space="preserve">ent density of foods purchased </w:t>
      </w:r>
      <w:r w:rsidR="00050E53"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"author" : [ { "dropping-particle" : "", "family" : "Drewnowski", "given" : "Adam", "non-dropping-particle" : "", "parse-names" : false, "suffix" : "" }, { "dropping-particle" : "", "family" : "Darmon", "given" : "Nicole", "non-dropping-particle" : "", "parse-names" : false, "suffix" : "" } ], "container-title" : "The Journal of Nutrition", "id" : "ITEM-1", "issued" : { "date-parts" : [ [ "2005" ] ] }, "page" : "900-904", "title" : "Food choices and diet costs: an economic analysis", "type" : "article-journal" }, "uris" : [ "http://www.mendeley.com/documents/?uuid=3e05899d-2fc3-4d9f-851f-cc5b7ca44096", "http://www.mendeley.com/documents/?uuid=e2c6ea3f-cc02-4d1d-8b45-dcb18b22a108" ] } ], "mendeley" : { "previouslyFormattedCitation" : "(Drewnowski and Darmon, 2005)" }, "properties" : { "noteIndex" : 0 }, "schema" : "https://github.com/citation-style-language/schema/raw/master/csl-citation.json" }</w:instrText>
      </w:r>
      <w:r w:rsidR="00050E53" w:rsidRPr="005E7AA7">
        <w:rPr>
          <w:rFonts w:ascii="Garamond" w:hAnsi="Garamond"/>
          <w:bCs/>
          <w:sz w:val="22"/>
          <w:szCs w:val="22"/>
          <w:lang w:val="en-US"/>
        </w:rPr>
        <w:fldChar w:fldCharType="separate"/>
      </w:r>
      <w:r w:rsidR="00050E53" w:rsidRPr="005E7AA7">
        <w:rPr>
          <w:rFonts w:ascii="Garamond" w:hAnsi="Garamond"/>
          <w:bCs/>
          <w:noProof/>
          <w:sz w:val="22"/>
          <w:szCs w:val="22"/>
          <w:lang w:val="en-US"/>
        </w:rPr>
        <w:t>(Drewnowski and Darmon, 2005)</w:t>
      </w:r>
      <w:r w:rsidR="00050E53" w:rsidRPr="005E7AA7">
        <w:rPr>
          <w:rFonts w:ascii="Garamond" w:hAnsi="Garamond"/>
          <w:bCs/>
          <w:sz w:val="22"/>
          <w:szCs w:val="22"/>
          <w:lang w:val="en-US"/>
        </w:rPr>
        <w:fldChar w:fldCharType="end"/>
      </w:r>
      <w:r w:rsidR="00050E53" w:rsidRPr="005E7AA7">
        <w:rPr>
          <w:rFonts w:ascii="Garamond" w:hAnsi="Garamond"/>
          <w:bCs/>
          <w:sz w:val="22"/>
          <w:szCs w:val="22"/>
          <w:lang w:val="en-US"/>
        </w:rPr>
        <w:t>. “Good taste, high convenience, and the low cost of energy-dense foods, in conjunction with large portions and low satiating power, may be the principal reasons for overeating and weight gain” (ibid, p. 900).</w:t>
      </w:r>
    </w:p>
    <w:p w:rsidR="009A4E62" w:rsidRPr="005E7AA7" w:rsidRDefault="00050E53" w:rsidP="005E7AA7">
      <w:pPr>
        <w:rPr>
          <w:rFonts w:ascii="Garamond" w:hAnsi="Garamond"/>
          <w:bCs/>
          <w:sz w:val="22"/>
          <w:szCs w:val="22"/>
        </w:rPr>
      </w:pPr>
      <w:r w:rsidRPr="005E7AA7">
        <w:rPr>
          <w:rFonts w:ascii="Garamond" w:hAnsi="Garamond"/>
          <w:bCs/>
          <w:sz w:val="22"/>
          <w:szCs w:val="22"/>
          <w:lang w:val="en-US"/>
        </w:rPr>
        <w:t xml:space="preserve">Soft drinks represent one of the most common processed foods in the Maya diet. Based on data collected </w:t>
      </w:r>
      <w:r w:rsidR="00F135AF" w:rsidRPr="005E7AA7">
        <w:rPr>
          <w:rFonts w:ascii="Garamond" w:hAnsi="Garamond"/>
          <w:bCs/>
          <w:sz w:val="22"/>
          <w:szCs w:val="22"/>
          <w:lang w:val="en-US"/>
        </w:rPr>
        <w:t>i</w:t>
      </w:r>
      <w:r w:rsidRPr="005E7AA7">
        <w:rPr>
          <w:rFonts w:ascii="Garamond" w:hAnsi="Garamond"/>
          <w:bCs/>
          <w:sz w:val="22"/>
          <w:szCs w:val="22"/>
          <w:lang w:val="en-US"/>
        </w:rPr>
        <w:t>n November 2013 we found that the difference in price between a liter of still water and a liter of soft drink is $3 Mexican pesos (about $0.25 USA dollar</w:t>
      </w:r>
      <w:r w:rsidR="00F135AF" w:rsidRPr="005E7AA7">
        <w:rPr>
          <w:rFonts w:ascii="Garamond" w:hAnsi="Garamond"/>
          <w:bCs/>
          <w:sz w:val="22"/>
          <w:szCs w:val="22"/>
          <w:lang w:val="en-US"/>
        </w:rPr>
        <w:t>s</w:t>
      </w:r>
      <w:r w:rsidRPr="005E7AA7">
        <w:rPr>
          <w:rFonts w:ascii="Garamond" w:hAnsi="Garamond"/>
          <w:bCs/>
          <w:sz w:val="22"/>
          <w:szCs w:val="22"/>
          <w:lang w:val="en-US"/>
        </w:rPr>
        <w:t>). The still water is cheaper, but people prefer the sweet taste of the soft drinks. The authors v</w:t>
      </w:r>
      <w:r w:rsidR="00CB418A" w:rsidRPr="005E7AA7">
        <w:rPr>
          <w:rFonts w:ascii="Garamond" w:hAnsi="Garamond"/>
          <w:bCs/>
          <w:sz w:val="22"/>
          <w:szCs w:val="22"/>
          <w:lang w:val="en-US"/>
        </w:rPr>
        <w:t>isit</w:t>
      </w:r>
      <w:r w:rsidRPr="005E7AA7">
        <w:rPr>
          <w:rFonts w:ascii="Garamond" w:hAnsi="Garamond"/>
          <w:bCs/>
          <w:sz w:val="22"/>
          <w:szCs w:val="22"/>
          <w:lang w:val="en-US"/>
        </w:rPr>
        <w:t>ed</w:t>
      </w:r>
      <w:r w:rsidR="00CB418A" w:rsidRPr="005E7AA7">
        <w:rPr>
          <w:rFonts w:ascii="Garamond" w:hAnsi="Garamond"/>
          <w:bCs/>
          <w:sz w:val="22"/>
          <w:szCs w:val="22"/>
          <w:lang w:val="en-US"/>
        </w:rPr>
        <w:t xml:space="preserve"> </w:t>
      </w:r>
      <w:r w:rsidRPr="005E7AA7">
        <w:rPr>
          <w:rFonts w:ascii="Garamond" w:hAnsi="Garamond"/>
          <w:bCs/>
          <w:sz w:val="22"/>
          <w:szCs w:val="22"/>
          <w:lang w:val="en-US"/>
        </w:rPr>
        <w:t>Maya</w:t>
      </w:r>
      <w:r w:rsidR="00CB418A" w:rsidRPr="005E7AA7">
        <w:rPr>
          <w:rFonts w:ascii="Garamond" w:hAnsi="Garamond"/>
          <w:bCs/>
          <w:sz w:val="22"/>
          <w:szCs w:val="22"/>
          <w:lang w:val="en-US"/>
        </w:rPr>
        <w:t xml:space="preserve"> homes </w:t>
      </w:r>
      <w:r w:rsidRPr="005E7AA7">
        <w:rPr>
          <w:rFonts w:ascii="Garamond" w:hAnsi="Garamond"/>
          <w:bCs/>
          <w:sz w:val="22"/>
          <w:szCs w:val="22"/>
          <w:lang w:val="en-US"/>
        </w:rPr>
        <w:t>in March and April</w:t>
      </w:r>
      <w:r w:rsidR="00CB418A" w:rsidRPr="005E7AA7">
        <w:rPr>
          <w:rFonts w:ascii="Garamond" w:hAnsi="Garamond"/>
          <w:bCs/>
          <w:sz w:val="22"/>
          <w:szCs w:val="22"/>
          <w:lang w:val="en-US"/>
        </w:rPr>
        <w:t xml:space="preserve"> 2010</w:t>
      </w:r>
      <w:r w:rsidRPr="005E7AA7">
        <w:rPr>
          <w:rFonts w:ascii="Garamond" w:hAnsi="Garamond"/>
          <w:bCs/>
          <w:sz w:val="22"/>
          <w:szCs w:val="22"/>
          <w:lang w:val="en-US"/>
        </w:rPr>
        <w:t xml:space="preserve">. In many homes sugar-sweetened soft drinks were visible, </w:t>
      </w:r>
      <w:r w:rsidR="00F135AF" w:rsidRPr="005E7AA7">
        <w:rPr>
          <w:rFonts w:ascii="Garamond" w:hAnsi="Garamond"/>
          <w:bCs/>
          <w:sz w:val="22"/>
          <w:szCs w:val="22"/>
          <w:lang w:val="en-US"/>
        </w:rPr>
        <w:t>either in bottles around the home</w:t>
      </w:r>
      <w:r w:rsidRPr="005E7AA7">
        <w:rPr>
          <w:rFonts w:ascii="Garamond" w:hAnsi="Garamond"/>
          <w:bCs/>
          <w:sz w:val="22"/>
          <w:szCs w:val="22"/>
          <w:lang w:val="en-US"/>
        </w:rPr>
        <w:t xml:space="preserve"> or being consumed. In one of the homes we saw a stack of 4 or 5 cases</w:t>
      </w:r>
      <w:r w:rsidR="00CB418A" w:rsidRPr="005E7AA7">
        <w:rPr>
          <w:rFonts w:ascii="Garamond" w:hAnsi="Garamond"/>
          <w:bCs/>
          <w:sz w:val="22"/>
          <w:szCs w:val="22"/>
          <w:lang w:val="en-US"/>
        </w:rPr>
        <w:t xml:space="preserve"> </w:t>
      </w:r>
      <w:r w:rsidR="00CB418A" w:rsidRPr="005E7AA7">
        <w:rPr>
          <w:rFonts w:ascii="Garamond" w:hAnsi="Garamond"/>
          <w:bCs/>
          <w:sz w:val="22"/>
          <w:szCs w:val="22"/>
        </w:rPr>
        <w:t>of 2-liter Coca-Cola</w:t>
      </w:r>
      <w:r w:rsidR="00F135AF" w:rsidRPr="005E7AA7">
        <w:rPr>
          <w:rFonts w:ascii="Garamond" w:hAnsi="Garamond"/>
          <w:bCs/>
          <w:sz w:val="22"/>
          <w:szCs w:val="22"/>
        </w:rPr>
        <w:t xml:space="preserve"> bottles</w:t>
      </w:r>
      <w:r w:rsidR="00CB418A" w:rsidRPr="005E7AA7">
        <w:rPr>
          <w:rFonts w:ascii="Garamond" w:hAnsi="Garamond"/>
          <w:bCs/>
          <w:sz w:val="22"/>
          <w:szCs w:val="22"/>
        </w:rPr>
        <w:t>.</w:t>
      </w:r>
      <w:r w:rsidRPr="005E7AA7">
        <w:rPr>
          <w:rFonts w:ascii="Garamond" w:hAnsi="Garamond"/>
          <w:bCs/>
          <w:sz w:val="22"/>
          <w:szCs w:val="22"/>
        </w:rPr>
        <w:t xml:space="preserve"> Each case contained 4 bottles. The father of this home explained that he</w:t>
      </w:r>
      <w:r w:rsidR="00CB418A" w:rsidRPr="005E7AA7">
        <w:rPr>
          <w:rFonts w:ascii="Garamond" w:hAnsi="Garamond"/>
          <w:bCs/>
          <w:sz w:val="22"/>
          <w:szCs w:val="22"/>
        </w:rPr>
        <w:t xml:space="preserve"> </w:t>
      </w:r>
      <w:r w:rsidRPr="005E7AA7">
        <w:rPr>
          <w:rFonts w:ascii="Garamond" w:hAnsi="Garamond"/>
          <w:bCs/>
          <w:sz w:val="22"/>
          <w:szCs w:val="22"/>
        </w:rPr>
        <w:t>p</w:t>
      </w:r>
      <w:r w:rsidR="00CB418A" w:rsidRPr="005E7AA7">
        <w:rPr>
          <w:rFonts w:ascii="Garamond" w:hAnsi="Garamond"/>
          <w:bCs/>
          <w:sz w:val="22"/>
          <w:szCs w:val="22"/>
        </w:rPr>
        <w:t>urchased</w:t>
      </w:r>
      <w:r w:rsidRPr="005E7AA7">
        <w:rPr>
          <w:rFonts w:ascii="Garamond" w:hAnsi="Garamond"/>
          <w:bCs/>
          <w:sz w:val="22"/>
          <w:szCs w:val="22"/>
        </w:rPr>
        <w:t xml:space="preserve"> these cases</w:t>
      </w:r>
      <w:r w:rsidR="00CB418A" w:rsidRPr="005E7AA7">
        <w:rPr>
          <w:rFonts w:ascii="Garamond" w:hAnsi="Garamond"/>
          <w:bCs/>
          <w:sz w:val="22"/>
          <w:szCs w:val="22"/>
        </w:rPr>
        <w:t xml:space="preserve"> at Wal-Mart</w:t>
      </w:r>
      <w:r w:rsidRPr="005E7AA7">
        <w:rPr>
          <w:rFonts w:ascii="Garamond" w:hAnsi="Garamond"/>
          <w:bCs/>
          <w:sz w:val="22"/>
          <w:szCs w:val="22"/>
        </w:rPr>
        <w:t xml:space="preserve">, which </w:t>
      </w:r>
      <w:proofErr w:type="gramStart"/>
      <w:r w:rsidRPr="005E7AA7">
        <w:rPr>
          <w:rFonts w:ascii="Garamond" w:hAnsi="Garamond"/>
          <w:bCs/>
          <w:sz w:val="22"/>
          <w:szCs w:val="22"/>
        </w:rPr>
        <w:t>is</w:t>
      </w:r>
      <w:proofErr w:type="gramEnd"/>
      <w:r w:rsidRPr="005E7AA7">
        <w:rPr>
          <w:rFonts w:ascii="Garamond" w:hAnsi="Garamond"/>
          <w:bCs/>
          <w:sz w:val="22"/>
          <w:szCs w:val="22"/>
        </w:rPr>
        <w:t xml:space="preserve"> a United States based,</w:t>
      </w:r>
      <w:r w:rsidR="00CB418A" w:rsidRPr="005E7AA7">
        <w:rPr>
          <w:rFonts w:ascii="Garamond" w:hAnsi="Garamond"/>
          <w:bCs/>
          <w:sz w:val="22"/>
          <w:szCs w:val="22"/>
        </w:rPr>
        <w:t xml:space="preserve"> global </w:t>
      </w:r>
      <w:r w:rsidRPr="005E7AA7">
        <w:rPr>
          <w:rFonts w:ascii="Garamond" w:hAnsi="Garamond"/>
          <w:bCs/>
          <w:sz w:val="22"/>
          <w:szCs w:val="22"/>
        </w:rPr>
        <w:t>department store and supermarket</w:t>
      </w:r>
      <w:r w:rsidR="00CB418A" w:rsidRPr="005E7AA7">
        <w:rPr>
          <w:rFonts w:ascii="Garamond" w:hAnsi="Garamond"/>
          <w:bCs/>
          <w:sz w:val="22"/>
          <w:szCs w:val="22"/>
        </w:rPr>
        <w:t xml:space="preserve">. The </w:t>
      </w:r>
      <w:r w:rsidRPr="005E7AA7">
        <w:rPr>
          <w:rFonts w:ascii="Garamond" w:hAnsi="Garamond"/>
          <w:bCs/>
          <w:sz w:val="22"/>
          <w:szCs w:val="22"/>
        </w:rPr>
        <w:t>father assured us that these Coca-Colas were</w:t>
      </w:r>
      <w:r w:rsidR="00CB418A" w:rsidRPr="005E7AA7">
        <w:rPr>
          <w:rFonts w:ascii="Garamond" w:hAnsi="Garamond"/>
          <w:bCs/>
          <w:sz w:val="22"/>
          <w:szCs w:val="22"/>
        </w:rPr>
        <w:t xml:space="preserve"> for family consumption</w:t>
      </w:r>
      <w:r w:rsidRPr="005E7AA7">
        <w:rPr>
          <w:rFonts w:ascii="Garamond" w:hAnsi="Garamond"/>
          <w:bCs/>
          <w:sz w:val="22"/>
          <w:szCs w:val="22"/>
        </w:rPr>
        <w:t xml:space="preserve"> and </w:t>
      </w:r>
      <w:r w:rsidR="00CB418A" w:rsidRPr="005E7AA7">
        <w:rPr>
          <w:rFonts w:ascii="Garamond" w:hAnsi="Garamond"/>
          <w:bCs/>
          <w:sz w:val="22"/>
          <w:szCs w:val="22"/>
        </w:rPr>
        <w:t xml:space="preserve">not for sale. </w:t>
      </w:r>
    </w:p>
    <w:p w:rsidR="00067D4F" w:rsidRPr="005E7AA7" w:rsidRDefault="00067D4F" w:rsidP="005E7AA7">
      <w:pPr>
        <w:rPr>
          <w:rFonts w:ascii="Garamond" w:hAnsi="Garamond"/>
          <w:bCs/>
          <w:sz w:val="22"/>
          <w:szCs w:val="22"/>
        </w:rPr>
      </w:pPr>
      <w:r w:rsidRPr="005E7AA7">
        <w:rPr>
          <w:rFonts w:ascii="Garamond" w:hAnsi="Garamond"/>
          <w:bCs/>
          <w:sz w:val="22"/>
          <w:szCs w:val="22"/>
        </w:rPr>
        <w:t>The consumption of sugar-sweetened beverages begins in infancy. In our fieldwork we have seen one year old infants given small amount</w:t>
      </w:r>
      <w:r w:rsidR="008A13B3" w:rsidRPr="005E7AA7">
        <w:rPr>
          <w:rFonts w:ascii="Garamond" w:hAnsi="Garamond"/>
          <w:bCs/>
          <w:sz w:val="22"/>
          <w:szCs w:val="22"/>
        </w:rPr>
        <w:t>s</w:t>
      </w:r>
      <w:r w:rsidRPr="005E7AA7">
        <w:rPr>
          <w:rFonts w:ascii="Garamond" w:hAnsi="Garamond"/>
          <w:bCs/>
          <w:sz w:val="22"/>
          <w:szCs w:val="22"/>
        </w:rPr>
        <w:t xml:space="preserve"> of Coca-Cola by their mothers</w:t>
      </w:r>
      <w:r w:rsidR="008A13B3" w:rsidRPr="005E7AA7">
        <w:rPr>
          <w:rFonts w:ascii="Garamond" w:hAnsi="Garamond"/>
          <w:bCs/>
          <w:sz w:val="22"/>
          <w:szCs w:val="22"/>
        </w:rPr>
        <w:t xml:space="preserve">. One method used by the mothers is to dip a finger in the Coke and then allow the infant to suck the finger. </w:t>
      </w:r>
      <w:r w:rsidRPr="005E7AA7">
        <w:rPr>
          <w:rFonts w:ascii="Garamond" w:hAnsi="Garamond"/>
          <w:bCs/>
          <w:sz w:val="22"/>
          <w:szCs w:val="22"/>
        </w:rPr>
        <w:t xml:space="preserve"> </w:t>
      </w:r>
      <w:r w:rsidR="008A13B3" w:rsidRPr="005E7AA7">
        <w:rPr>
          <w:rFonts w:ascii="Garamond" w:hAnsi="Garamond"/>
          <w:bCs/>
          <w:sz w:val="22"/>
          <w:szCs w:val="22"/>
        </w:rPr>
        <w:t>Another method is to pour Coca-Cola into a baby bottle and allow the infant to drink</w:t>
      </w:r>
      <w:r w:rsidRPr="005E7AA7">
        <w:rPr>
          <w:rFonts w:ascii="Garamond" w:hAnsi="Garamond"/>
          <w:bCs/>
          <w:sz w:val="22"/>
          <w:szCs w:val="22"/>
        </w:rPr>
        <w:t xml:space="preserve">. </w:t>
      </w:r>
      <w:r w:rsidR="008A13B3" w:rsidRPr="005E7AA7">
        <w:rPr>
          <w:rFonts w:ascii="Garamond" w:hAnsi="Garamond"/>
          <w:bCs/>
          <w:sz w:val="22"/>
          <w:szCs w:val="22"/>
        </w:rPr>
        <w:t>One of the present co-authors (MTCB) observed during her fieldwork in Yucatan</w:t>
      </w:r>
      <w:r w:rsidRPr="005E7AA7">
        <w:rPr>
          <w:rFonts w:ascii="Garamond" w:hAnsi="Garamond"/>
          <w:bCs/>
          <w:sz w:val="22"/>
          <w:szCs w:val="22"/>
        </w:rPr>
        <w:t xml:space="preserve"> </w:t>
      </w:r>
      <w:r w:rsidR="008A13B3" w:rsidRPr="005E7AA7">
        <w:rPr>
          <w:rFonts w:ascii="Garamond" w:hAnsi="Garamond"/>
          <w:bCs/>
          <w:sz w:val="22"/>
          <w:szCs w:val="22"/>
        </w:rPr>
        <w:t xml:space="preserve">that mothers may alternate feeding their babies </w:t>
      </w:r>
      <w:r w:rsidRPr="005E7AA7">
        <w:rPr>
          <w:rFonts w:ascii="Garamond" w:hAnsi="Garamond"/>
          <w:bCs/>
          <w:sz w:val="22"/>
          <w:szCs w:val="22"/>
        </w:rPr>
        <w:t xml:space="preserve">Coca-Cola </w:t>
      </w:r>
      <w:r w:rsidR="008A13B3" w:rsidRPr="005E7AA7">
        <w:rPr>
          <w:rFonts w:ascii="Garamond" w:hAnsi="Garamond"/>
          <w:bCs/>
          <w:sz w:val="22"/>
          <w:szCs w:val="22"/>
        </w:rPr>
        <w:t xml:space="preserve">with a sugar-sweetened orange or apple flavoured soft drink. </w:t>
      </w:r>
      <w:r w:rsidRPr="005E7AA7">
        <w:rPr>
          <w:rFonts w:ascii="Garamond" w:hAnsi="Garamond"/>
          <w:bCs/>
          <w:sz w:val="22"/>
          <w:szCs w:val="22"/>
        </w:rPr>
        <w:t>Some</w:t>
      </w:r>
      <w:r w:rsidR="008A13B3" w:rsidRPr="005E7AA7">
        <w:rPr>
          <w:rFonts w:ascii="Garamond" w:hAnsi="Garamond"/>
          <w:bCs/>
          <w:sz w:val="22"/>
          <w:szCs w:val="22"/>
        </w:rPr>
        <w:t xml:space="preserve"> of</w:t>
      </w:r>
      <w:r w:rsidRPr="005E7AA7">
        <w:rPr>
          <w:rFonts w:ascii="Garamond" w:hAnsi="Garamond"/>
          <w:bCs/>
          <w:sz w:val="22"/>
          <w:szCs w:val="22"/>
        </w:rPr>
        <w:t xml:space="preserve"> </w:t>
      </w:r>
      <w:r w:rsidR="008A13B3" w:rsidRPr="005E7AA7">
        <w:rPr>
          <w:rFonts w:ascii="Garamond" w:hAnsi="Garamond"/>
          <w:bCs/>
          <w:sz w:val="22"/>
          <w:szCs w:val="22"/>
        </w:rPr>
        <w:t xml:space="preserve">the </w:t>
      </w:r>
      <w:r w:rsidRPr="005E7AA7">
        <w:rPr>
          <w:rFonts w:ascii="Garamond" w:hAnsi="Garamond"/>
          <w:bCs/>
          <w:sz w:val="22"/>
          <w:szCs w:val="22"/>
        </w:rPr>
        <w:t xml:space="preserve">mothers </w:t>
      </w:r>
      <w:r w:rsidR="008A13B3" w:rsidRPr="005E7AA7">
        <w:rPr>
          <w:rFonts w:ascii="Garamond" w:hAnsi="Garamond"/>
          <w:bCs/>
          <w:sz w:val="22"/>
          <w:szCs w:val="22"/>
        </w:rPr>
        <w:t xml:space="preserve">explained that they do this </w:t>
      </w:r>
      <w:r w:rsidRPr="005E7AA7">
        <w:rPr>
          <w:rFonts w:ascii="Garamond" w:hAnsi="Garamond"/>
          <w:bCs/>
          <w:sz w:val="22"/>
          <w:szCs w:val="22"/>
        </w:rPr>
        <w:t xml:space="preserve">because physicians informed </w:t>
      </w:r>
      <w:r w:rsidR="008A13B3" w:rsidRPr="005E7AA7">
        <w:rPr>
          <w:rFonts w:ascii="Garamond" w:hAnsi="Garamond"/>
          <w:bCs/>
          <w:sz w:val="22"/>
          <w:szCs w:val="22"/>
        </w:rPr>
        <w:t>them that</w:t>
      </w:r>
      <w:r w:rsidRPr="005E7AA7">
        <w:rPr>
          <w:rFonts w:ascii="Garamond" w:hAnsi="Garamond"/>
          <w:bCs/>
          <w:sz w:val="22"/>
          <w:szCs w:val="22"/>
        </w:rPr>
        <w:t xml:space="preserve"> Coca-Cola is not good for children, but children want to drink it</w:t>
      </w:r>
      <w:r w:rsidR="008A13B3" w:rsidRPr="005E7AA7">
        <w:rPr>
          <w:rFonts w:ascii="Garamond" w:hAnsi="Garamond"/>
          <w:bCs/>
          <w:sz w:val="22"/>
          <w:szCs w:val="22"/>
        </w:rPr>
        <w:t xml:space="preserve">. So, </w:t>
      </w:r>
      <w:r w:rsidRPr="005E7AA7">
        <w:rPr>
          <w:rFonts w:ascii="Garamond" w:hAnsi="Garamond"/>
          <w:bCs/>
          <w:sz w:val="22"/>
          <w:szCs w:val="22"/>
        </w:rPr>
        <w:t xml:space="preserve">the mothers “negotiate” </w:t>
      </w:r>
      <w:r w:rsidR="008A13B3" w:rsidRPr="005E7AA7">
        <w:rPr>
          <w:rFonts w:ascii="Garamond" w:hAnsi="Garamond"/>
          <w:bCs/>
          <w:sz w:val="22"/>
          <w:szCs w:val="22"/>
        </w:rPr>
        <w:t xml:space="preserve">by </w:t>
      </w:r>
      <w:r w:rsidRPr="005E7AA7">
        <w:rPr>
          <w:rFonts w:ascii="Garamond" w:hAnsi="Garamond"/>
          <w:bCs/>
          <w:sz w:val="22"/>
          <w:szCs w:val="22"/>
        </w:rPr>
        <w:t xml:space="preserve">giving sometimes </w:t>
      </w:r>
      <w:r w:rsidR="008A13B3" w:rsidRPr="005E7AA7">
        <w:rPr>
          <w:rFonts w:ascii="Garamond" w:hAnsi="Garamond"/>
          <w:bCs/>
          <w:sz w:val="22"/>
          <w:szCs w:val="22"/>
        </w:rPr>
        <w:t xml:space="preserve">the fruit flavoured </w:t>
      </w:r>
      <w:r w:rsidRPr="005E7AA7">
        <w:rPr>
          <w:rFonts w:ascii="Garamond" w:hAnsi="Garamond"/>
          <w:bCs/>
          <w:sz w:val="22"/>
          <w:szCs w:val="22"/>
        </w:rPr>
        <w:t xml:space="preserve">soft drinks </w:t>
      </w:r>
      <w:r w:rsidR="008A13B3" w:rsidRPr="005E7AA7">
        <w:rPr>
          <w:rFonts w:ascii="Garamond" w:hAnsi="Garamond"/>
          <w:bCs/>
          <w:sz w:val="22"/>
          <w:szCs w:val="22"/>
        </w:rPr>
        <w:t>and sometimes the Coca-Cola</w:t>
      </w:r>
      <w:r w:rsidRPr="005E7AA7">
        <w:rPr>
          <w:rFonts w:ascii="Garamond" w:hAnsi="Garamond"/>
          <w:bCs/>
          <w:sz w:val="22"/>
          <w:szCs w:val="22"/>
        </w:rPr>
        <w:t xml:space="preserve">. </w:t>
      </w:r>
    </w:p>
    <w:p w:rsidR="009A4E62" w:rsidRPr="005E7AA7" w:rsidRDefault="004015D2" w:rsidP="005E7AA7">
      <w:pPr>
        <w:rPr>
          <w:rFonts w:ascii="Garamond" w:hAnsi="Garamond"/>
          <w:bCs/>
          <w:sz w:val="22"/>
          <w:szCs w:val="22"/>
          <w:lang w:val="en-US"/>
        </w:rPr>
      </w:pPr>
      <w:r w:rsidRPr="005E7AA7">
        <w:rPr>
          <w:rFonts w:ascii="Garamond" w:hAnsi="Garamond"/>
          <w:bCs/>
          <w:sz w:val="22"/>
          <w:szCs w:val="22"/>
          <w:lang w:val="en-US"/>
        </w:rPr>
        <w:t>In every home we visited there are items in use that have the Coca-Cola logo, such as plastic table and chairs. One of the primary schools in the neighborhood had a refrigerator painted with the Coca-Cola. We visited this school on a day when the children were presenting dances and songs based on traditional Mexican folktales. There were several vendors both inside the school grounds and just outside selling Coke and Pepsi beverages and packaged snack foods (</w:t>
      </w:r>
      <w:proofErr w:type="spellStart"/>
      <w:r w:rsidRPr="005E7AA7">
        <w:rPr>
          <w:rFonts w:ascii="Garamond" w:hAnsi="Garamond"/>
          <w:bCs/>
          <w:i/>
          <w:sz w:val="22"/>
          <w:szCs w:val="22"/>
          <w:lang w:val="en-US"/>
        </w:rPr>
        <w:t>comidas</w:t>
      </w:r>
      <w:proofErr w:type="spellEnd"/>
      <w:r w:rsidRPr="005E7AA7">
        <w:rPr>
          <w:rFonts w:ascii="Garamond" w:hAnsi="Garamond"/>
          <w:bCs/>
          <w:i/>
          <w:sz w:val="22"/>
          <w:szCs w:val="22"/>
          <w:lang w:val="en-US"/>
        </w:rPr>
        <w:t xml:space="preserve"> </w:t>
      </w:r>
      <w:proofErr w:type="spellStart"/>
      <w:r w:rsidRPr="005E7AA7">
        <w:rPr>
          <w:rFonts w:ascii="Garamond" w:hAnsi="Garamond"/>
          <w:bCs/>
          <w:i/>
          <w:sz w:val="22"/>
          <w:szCs w:val="22"/>
          <w:lang w:val="en-US"/>
        </w:rPr>
        <w:t>chatarr</w:t>
      </w:r>
      <w:r w:rsidRPr="005E7AA7">
        <w:rPr>
          <w:rFonts w:ascii="Garamond" w:hAnsi="Garamond"/>
          <w:bCs/>
          <w:sz w:val="22"/>
          <w:szCs w:val="22"/>
          <w:lang w:val="en-US"/>
        </w:rPr>
        <w:t>as</w:t>
      </w:r>
      <w:proofErr w:type="spellEnd"/>
      <w:r w:rsidRPr="005E7AA7">
        <w:rPr>
          <w:rFonts w:ascii="Garamond" w:hAnsi="Garamond"/>
          <w:bCs/>
          <w:sz w:val="22"/>
          <w:szCs w:val="22"/>
          <w:lang w:val="en-US"/>
        </w:rPr>
        <w:t xml:space="preserve">). </w:t>
      </w:r>
      <w:r w:rsidR="00050E53" w:rsidRPr="005E7AA7">
        <w:rPr>
          <w:rFonts w:ascii="Garamond" w:hAnsi="Garamond"/>
          <w:bCs/>
          <w:sz w:val="22"/>
          <w:szCs w:val="22"/>
        </w:rPr>
        <w:t>In a few homes we were offered refreshment</w:t>
      </w:r>
      <w:r w:rsidR="00DE29E2" w:rsidRPr="005E7AA7">
        <w:rPr>
          <w:rFonts w:ascii="Garamond" w:hAnsi="Garamond"/>
          <w:bCs/>
          <w:sz w:val="22"/>
          <w:szCs w:val="22"/>
        </w:rPr>
        <w:t>, which is long-standing custom of hospitality in Yucatan and Chi</w:t>
      </w:r>
      <w:r w:rsidR="00661F68" w:rsidRPr="005E7AA7">
        <w:rPr>
          <w:rFonts w:ascii="Garamond" w:hAnsi="Garamond"/>
          <w:bCs/>
          <w:sz w:val="22"/>
          <w:szCs w:val="22"/>
        </w:rPr>
        <w:t>a</w:t>
      </w:r>
      <w:r w:rsidR="00DE29E2" w:rsidRPr="005E7AA7">
        <w:rPr>
          <w:rFonts w:ascii="Garamond" w:hAnsi="Garamond"/>
          <w:bCs/>
          <w:sz w:val="22"/>
          <w:szCs w:val="22"/>
        </w:rPr>
        <w:t>pas, Mexico.</w:t>
      </w:r>
      <w:r w:rsidR="00050E53" w:rsidRPr="005E7AA7">
        <w:rPr>
          <w:rFonts w:ascii="Garamond" w:hAnsi="Garamond"/>
          <w:bCs/>
          <w:sz w:val="22"/>
          <w:szCs w:val="22"/>
        </w:rPr>
        <w:t xml:space="preserve"> </w:t>
      </w:r>
      <w:r w:rsidR="00DE29E2" w:rsidRPr="005E7AA7">
        <w:rPr>
          <w:rFonts w:ascii="Garamond" w:hAnsi="Garamond"/>
          <w:bCs/>
          <w:sz w:val="22"/>
          <w:szCs w:val="22"/>
        </w:rPr>
        <w:t>I</w:t>
      </w:r>
      <w:r w:rsidR="00050E53" w:rsidRPr="005E7AA7">
        <w:rPr>
          <w:rFonts w:ascii="Garamond" w:hAnsi="Garamond"/>
          <w:bCs/>
          <w:sz w:val="22"/>
          <w:szCs w:val="22"/>
        </w:rPr>
        <w:t xml:space="preserve">n every instance this was a soft drink such as Coke or </w:t>
      </w:r>
      <w:r w:rsidR="00F135AF" w:rsidRPr="005E7AA7">
        <w:rPr>
          <w:rFonts w:ascii="Garamond" w:hAnsi="Garamond"/>
          <w:bCs/>
          <w:sz w:val="22"/>
          <w:szCs w:val="22"/>
        </w:rPr>
        <w:t xml:space="preserve">another </w:t>
      </w:r>
      <w:r w:rsidR="00050E53" w:rsidRPr="005E7AA7">
        <w:rPr>
          <w:rFonts w:ascii="Garamond" w:hAnsi="Garamond"/>
          <w:bCs/>
          <w:sz w:val="22"/>
          <w:szCs w:val="22"/>
          <w:lang w:val="en-US"/>
        </w:rPr>
        <w:t>commercial brand</w:t>
      </w:r>
      <w:r w:rsidR="00050E53" w:rsidRPr="005E7AA7">
        <w:rPr>
          <w:rFonts w:ascii="Garamond" w:hAnsi="Garamond"/>
          <w:bCs/>
          <w:sz w:val="22"/>
          <w:szCs w:val="22"/>
        </w:rPr>
        <w:t xml:space="preserve"> </w:t>
      </w:r>
      <w:r w:rsidR="00F135AF" w:rsidRPr="005E7AA7">
        <w:rPr>
          <w:rFonts w:ascii="Garamond" w:hAnsi="Garamond"/>
          <w:bCs/>
          <w:sz w:val="22"/>
          <w:szCs w:val="22"/>
        </w:rPr>
        <w:t>drink, such as</w:t>
      </w:r>
      <w:r w:rsidR="00050E53" w:rsidRPr="005E7AA7">
        <w:rPr>
          <w:rFonts w:ascii="Garamond" w:hAnsi="Garamond"/>
          <w:bCs/>
          <w:sz w:val="22"/>
          <w:szCs w:val="22"/>
        </w:rPr>
        <w:t xml:space="preserve"> ‘</w:t>
      </w:r>
      <w:r w:rsidR="00CB418A" w:rsidRPr="005E7AA7">
        <w:rPr>
          <w:rFonts w:ascii="Garamond" w:hAnsi="Garamond"/>
          <w:bCs/>
          <w:sz w:val="22"/>
          <w:szCs w:val="22"/>
          <w:lang w:val="en-US"/>
        </w:rPr>
        <w:t>sparkling apple juice</w:t>
      </w:r>
      <w:r w:rsidR="00050E53" w:rsidRPr="005E7AA7">
        <w:rPr>
          <w:rFonts w:ascii="Garamond" w:hAnsi="Garamond"/>
          <w:bCs/>
          <w:sz w:val="22"/>
          <w:szCs w:val="22"/>
          <w:lang w:val="en-US"/>
        </w:rPr>
        <w:t>’</w:t>
      </w:r>
      <w:r w:rsidR="00CB418A" w:rsidRPr="005E7AA7">
        <w:rPr>
          <w:rFonts w:ascii="Garamond" w:hAnsi="Garamond"/>
          <w:bCs/>
          <w:sz w:val="22"/>
          <w:szCs w:val="22"/>
          <w:lang w:val="en-US"/>
        </w:rPr>
        <w:t xml:space="preserve"> </w:t>
      </w:r>
      <w:r w:rsidR="00050E53" w:rsidRPr="005E7AA7">
        <w:rPr>
          <w:rFonts w:ascii="Garamond" w:hAnsi="Garamond"/>
          <w:bCs/>
          <w:sz w:val="22"/>
          <w:szCs w:val="22"/>
          <w:lang w:val="en-US"/>
        </w:rPr>
        <w:t>– a sugar-sweetened, carbonated apple-flavored beverage.</w:t>
      </w:r>
      <w:r w:rsidR="00CB418A" w:rsidRPr="005E7AA7">
        <w:rPr>
          <w:rFonts w:ascii="Garamond" w:hAnsi="Garamond"/>
          <w:bCs/>
          <w:sz w:val="22"/>
          <w:szCs w:val="22"/>
          <w:lang w:val="en-US"/>
        </w:rPr>
        <w:t xml:space="preserve"> </w:t>
      </w:r>
    </w:p>
    <w:p w:rsidR="00CB418A" w:rsidRPr="005E7AA7" w:rsidRDefault="00DE29E2" w:rsidP="005E7AA7">
      <w:pPr>
        <w:rPr>
          <w:rFonts w:ascii="Garamond" w:hAnsi="Garamond"/>
          <w:bCs/>
          <w:sz w:val="22"/>
          <w:szCs w:val="22"/>
          <w:lang w:val="en-US"/>
        </w:rPr>
      </w:pPr>
      <w:r w:rsidRPr="005E7AA7">
        <w:rPr>
          <w:rFonts w:ascii="Garamond" w:hAnsi="Garamond"/>
          <w:bCs/>
          <w:sz w:val="22"/>
          <w:szCs w:val="22"/>
          <w:lang w:val="en-US"/>
        </w:rPr>
        <w:t xml:space="preserve">In </w:t>
      </w:r>
      <w:r w:rsidR="004015D2" w:rsidRPr="005E7AA7">
        <w:rPr>
          <w:rFonts w:ascii="Garamond" w:hAnsi="Garamond"/>
          <w:bCs/>
          <w:sz w:val="22"/>
          <w:szCs w:val="22"/>
          <w:lang w:val="en-US"/>
        </w:rPr>
        <w:t xml:space="preserve">the Mexican state of </w:t>
      </w:r>
      <w:r w:rsidRPr="005E7AA7">
        <w:rPr>
          <w:rFonts w:ascii="Garamond" w:hAnsi="Garamond"/>
          <w:bCs/>
          <w:sz w:val="22"/>
          <w:szCs w:val="22"/>
          <w:lang w:val="en-US"/>
        </w:rPr>
        <w:t xml:space="preserve">Chiapas, the Coca-Cola and Pepsi-Cola companies have worked successfully to convince people to offer the globalized soft drinks instead of a </w:t>
      </w:r>
      <w:r w:rsidR="005577FD" w:rsidRPr="005E7AA7">
        <w:rPr>
          <w:rFonts w:ascii="Garamond" w:hAnsi="Garamond"/>
          <w:bCs/>
          <w:sz w:val="22"/>
          <w:szCs w:val="22"/>
          <w:lang w:val="en-US"/>
        </w:rPr>
        <w:t xml:space="preserve">locally-produced, </w:t>
      </w:r>
      <w:r w:rsidRPr="005E7AA7">
        <w:rPr>
          <w:rFonts w:ascii="Garamond" w:hAnsi="Garamond"/>
          <w:bCs/>
          <w:sz w:val="22"/>
          <w:szCs w:val="22"/>
          <w:lang w:val="en-US"/>
        </w:rPr>
        <w:t>mildly alcoholic beverage</w:t>
      </w:r>
      <w:r w:rsidR="00CA6AD6" w:rsidRPr="005E7AA7">
        <w:rPr>
          <w:rFonts w:ascii="Garamond" w:hAnsi="Garamond"/>
          <w:bCs/>
          <w:sz w:val="22"/>
          <w:szCs w:val="22"/>
          <w:lang w:val="en-US"/>
        </w:rPr>
        <w:t xml:space="preserve"> distilled from fermented sugar cane and corn</w:t>
      </w:r>
      <w:r w:rsidRPr="005E7AA7">
        <w:rPr>
          <w:rFonts w:ascii="Garamond" w:hAnsi="Garamond"/>
          <w:bCs/>
          <w:sz w:val="22"/>
          <w:szCs w:val="22"/>
          <w:lang w:val="en-US"/>
        </w:rPr>
        <w:t xml:space="preserve">, called </w:t>
      </w:r>
      <w:r w:rsidR="00035B42" w:rsidRPr="005E7AA7">
        <w:rPr>
          <w:rFonts w:ascii="Garamond" w:hAnsi="Garamond"/>
          <w:bCs/>
          <w:i/>
          <w:sz w:val="22"/>
          <w:szCs w:val="22"/>
          <w:lang w:val="en-US"/>
        </w:rPr>
        <w:t>pox</w:t>
      </w:r>
      <w:r w:rsidR="00035B42" w:rsidRPr="005E7AA7">
        <w:rPr>
          <w:rFonts w:ascii="Garamond" w:hAnsi="Garamond"/>
          <w:bCs/>
          <w:sz w:val="22"/>
          <w:szCs w:val="22"/>
          <w:lang w:val="en-US"/>
        </w:rPr>
        <w:t xml:space="preserve"> </w:t>
      </w:r>
      <w:r w:rsidR="005577FD"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"URL" : "http://english.periodismohumano.com/2013/03/05/the-coca-colization-of-mexico-the-spark-of-obesity/", "accessed" : { "date-parts" : [ [ "2014", "1", "11" ] ] }, "author" : [ { "dropping-particle" : "", "family" : "Verza", "given" : "Maria", "non-dropping-particle" : "", "parse-names" : false, "suffix" : "" } ], "container-title" : "periodismohumano", "id" : "ITEM-1", "issued" : { "date-parts" : [ [ "2013" ] ] }, "title" : "The \u201cCoca-Colization\u201d of Mexico, the Spark of Obesity", "type" : "webpage" }, "uris" : [ "http://www.mendeley.com/documents/?uuid=16db957b-4188-4daf-a0ed-1670a6ab34fa" ] } ], "mendeley" : { "manualFormatting" : "(pronounded as 'posh', Verza, 2013", "previouslyFormattedCitation" : "(Verza, 2013)" }, "properties" : { "noteIndex" : 0 }, "schema" : "https://github.com/citation-style-language/schema/raw/master/csl-citation.json" }</w:instrText>
      </w:r>
      <w:r w:rsidR="005577FD" w:rsidRPr="005E7AA7">
        <w:rPr>
          <w:rFonts w:ascii="Garamond" w:hAnsi="Garamond"/>
          <w:bCs/>
          <w:sz w:val="22"/>
          <w:szCs w:val="22"/>
          <w:lang w:val="en-US"/>
        </w:rPr>
        <w:fldChar w:fldCharType="separate"/>
      </w:r>
      <w:r w:rsidR="005577FD" w:rsidRPr="005E7AA7">
        <w:rPr>
          <w:rFonts w:ascii="Garamond" w:hAnsi="Garamond"/>
          <w:bCs/>
          <w:noProof/>
          <w:sz w:val="22"/>
          <w:szCs w:val="22"/>
          <w:lang w:val="en-US"/>
        </w:rPr>
        <w:t>(</w:t>
      </w:r>
      <w:r w:rsidR="00B8011F" w:rsidRPr="005E7AA7">
        <w:rPr>
          <w:rFonts w:ascii="Garamond" w:hAnsi="Garamond"/>
          <w:bCs/>
          <w:noProof/>
          <w:sz w:val="22"/>
          <w:szCs w:val="22"/>
          <w:lang w:val="en-US"/>
        </w:rPr>
        <w:t xml:space="preserve">pronounded as 'posh', </w:t>
      </w:r>
      <w:r w:rsidR="005577FD" w:rsidRPr="005E7AA7">
        <w:rPr>
          <w:rFonts w:ascii="Garamond" w:hAnsi="Garamond"/>
          <w:bCs/>
          <w:noProof/>
          <w:sz w:val="22"/>
          <w:szCs w:val="22"/>
          <w:lang w:val="en-US"/>
        </w:rPr>
        <w:t>Verza, 2013</w:t>
      </w:r>
      <w:r w:rsidR="005577FD" w:rsidRPr="005E7AA7">
        <w:rPr>
          <w:rFonts w:ascii="Garamond" w:hAnsi="Garamond"/>
          <w:bCs/>
          <w:sz w:val="22"/>
          <w:szCs w:val="22"/>
          <w:lang w:val="en-US"/>
        </w:rPr>
        <w:fldChar w:fldCharType="end"/>
      </w:r>
      <w:r w:rsidR="005577FD" w:rsidRPr="005E7AA7">
        <w:rPr>
          <w:rFonts w:ascii="Garamond" w:hAnsi="Garamond"/>
          <w:bCs/>
          <w:sz w:val="22"/>
          <w:szCs w:val="22"/>
          <w:lang w:val="en-US"/>
        </w:rPr>
        <w:t xml:space="preserve">; </w:t>
      </w:r>
      <w:r w:rsidR="00035B42" w:rsidRPr="005E7AA7">
        <w:rPr>
          <w:rFonts w:ascii="Garamond" w:hAnsi="Garamond"/>
          <w:sz w:val="22"/>
          <w:szCs w:val="22"/>
        </w:rPr>
        <w:t>Federico Dickinson</w:t>
      </w:r>
      <w:r w:rsidR="00661F68" w:rsidRPr="005E7AA7">
        <w:rPr>
          <w:rFonts w:ascii="Garamond" w:hAnsi="Garamond"/>
          <w:sz w:val="22"/>
          <w:szCs w:val="22"/>
        </w:rPr>
        <w:t xml:space="preserve"> and </w:t>
      </w:r>
      <w:proofErr w:type="spellStart"/>
      <w:r w:rsidR="00661F68" w:rsidRPr="005E7AA7">
        <w:rPr>
          <w:rFonts w:ascii="Garamond" w:hAnsi="Garamond"/>
          <w:sz w:val="22"/>
          <w:szCs w:val="22"/>
          <w:lang w:val="en-US"/>
        </w:rPr>
        <w:t>María</w:t>
      </w:r>
      <w:proofErr w:type="spellEnd"/>
      <w:r w:rsidR="00661F68" w:rsidRPr="005E7AA7">
        <w:rPr>
          <w:rFonts w:ascii="Garamond" w:hAnsi="Garamond"/>
          <w:sz w:val="22"/>
          <w:szCs w:val="22"/>
          <w:lang w:val="en-US"/>
        </w:rPr>
        <w:t xml:space="preserve"> Teresa Castillo </w:t>
      </w:r>
      <w:proofErr w:type="spellStart"/>
      <w:r w:rsidR="00661F68" w:rsidRPr="005E7AA7">
        <w:rPr>
          <w:rFonts w:ascii="Garamond" w:hAnsi="Garamond"/>
          <w:sz w:val="22"/>
          <w:szCs w:val="22"/>
          <w:lang w:val="en-US"/>
        </w:rPr>
        <w:t>Burguete</w:t>
      </w:r>
      <w:proofErr w:type="spellEnd"/>
      <w:r w:rsidR="00035B42" w:rsidRPr="005E7AA7">
        <w:rPr>
          <w:rFonts w:ascii="Garamond" w:hAnsi="Garamond"/>
          <w:sz w:val="22"/>
          <w:szCs w:val="22"/>
        </w:rPr>
        <w:t xml:space="preserve">, </w:t>
      </w:r>
      <w:proofErr w:type="spellStart"/>
      <w:r w:rsidR="00035B42" w:rsidRPr="005E7AA7">
        <w:rPr>
          <w:rFonts w:ascii="Garamond" w:hAnsi="Garamond"/>
          <w:sz w:val="22"/>
          <w:szCs w:val="22"/>
        </w:rPr>
        <w:t>fieldnotes</w:t>
      </w:r>
      <w:proofErr w:type="spellEnd"/>
      <w:r w:rsidR="00035B42" w:rsidRPr="005E7AA7">
        <w:rPr>
          <w:rFonts w:ascii="Garamond" w:hAnsi="Garamond"/>
          <w:sz w:val="22"/>
          <w:szCs w:val="22"/>
        </w:rPr>
        <w:t>).</w:t>
      </w:r>
      <w:r w:rsidR="005577FD" w:rsidRPr="005E7AA7">
        <w:rPr>
          <w:rFonts w:ascii="Garamond" w:hAnsi="Garamond"/>
          <w:sz w:val="22"/>
          <w:szCs w:val="22"/>
        </w:rPr>
        <w:t xml:space="preserve"> Offering people a drink of </w:t>
      </w:r>
      <w:r w:rsidR="005577FD" w:rsidRPr="005E7AA7">
        <w:rPr>
          <w:rFonts w:ascii="Garamond" w:hAnsi="Garamond"/>
          <w:i/>
          <w:sz w:val="22"/>
          <w:szCs w:val="22"/>
        </w:rPr>
        <w:t>pox</w:t>
      </w:r>
      <w:r w:rsidR="005577FD" w:rsidRPr="005E7AA7">
        <w:rPr>
          <w:rFonts w:ascii="Garamond" w:hAnsi="Garamond"/>
          <w:sz w:val="22"/>
          <w:szCs w:val="22"/>
        </w:rPr>
        <w:t xml:space="preserve"> was an important part of traditional religious and social activities</w:t>
      </w:r>
      <w:r w:rsidR="001857DD" w:rsidRPr="005E7AA7">
        <w:rPr>
          <w:rFonts w:ascii="Garamond" w:hAnsi="Garamond"/>
          <w:sz w:val="22"/>
          <w:szCs w:val="22"/>
        </w:rPr>
        <w:t xml:space="preserve">. </w:t>
      </w:r>
      <w:r w:rsidR="005577FD" w:rsidRPr="005E7AA7">
        <w:rPr>
          <w:rFonts w:ascii="Garamond" w:hAnsi="Garamond"/>
          <w:sz w:val="22"/>
          <w:szCs w:val="22"/>
        </w:rPr>
        <w:t xml:space="preserve">The corporate strategy </w:t>
      </w:r>
      <w:r w:rsidR="001857DD" w:rsidRPr="005E7AA7">
        <w:rPr>
          <w:rFonts w:ascii="Garamond" w:hAnsi="Garamond"/>
          <w:sz w:val="22"/>
          <w:szCs w:val="22"/>
        </w:rPr>
        <w:t xml:space="preserve">to replace </w:t>
      </w:r>
      <w:r w:rsidR="001857DD" w:rsidRPr="005E7AA7">
        <w:rPr>
          <w:rFonts w:ascii="Garamond" w:hAnsi="Garamond"/>
          <w:i/>
          <w:sz w:val="22"/>
          <w:szCs w:val="22"/>
        </w:rPr>
        <w:t>pox</w:t>
      </w:r>
      <w:r w:rsidR="001857DD" w:rsidRPr="005E7AA7">
        <w:rPr>
          <w:rFonts w:ascii="Garamond" w:hAnsi="Garamond"/>
          <w:sz w:val="22"/>
          <w:szCs w:val="22"/>
        </w:rPr>
        <w:t xml:space="preserve"> with soft drinks </w:t>
      </w:r>
      <w:r w:rsidR="005577FD" w:rsidRPr="005E7AA7">
        <w:rPr>
          <w:rFonts w:ascii="Garamond" w:hAnsi="Garamond"/>
          <w:sz w:val="22"/>
          <w:szCs w:val="22"/>
        </w:rPr>
        <w:t xml:space="preserve">is reinforced by </w:t>
      </w:r>
      <w:r w:rsidR="001413A7" w:rsidRPr="005E7AA7">
        <w:rPr>
          <w:rFonts w:ascii="Garamond" w:hAnsi="Garamond"/>
          <w:sz w:val="22"/>
          <w:szCs w:val="22"/>
        </w:rPr>
        <w:t>e</w:t>
      </w:r>
      <w:r w:rsidR="005577FD" w:rsidRPr="005E7AA7">
        <w:rPr>
          <w:rFonts w:ascii="Garamond" w:hAnsi="Garamond"/>
          <w:sz w:val="22"/>
          <w:szCs w:val="22"/>
        </w:rPr>
        <w:t xml:space="preserve">vangelical Christian groups who campaign against </w:t>
      </w:r>
      <w:r w:rsidR="001857DD" w:rsidRPr="005E7AA7">
        <w:rPr>
          <w:rFonts w:ascii="Garamond" w:hAnsi="Garamond"/>
          <w:sz w:val="22"/>
          <w:szCs w:val="22"/>
        </w:rPr>
        <w:t xml:space="preserve">traditional religion and </w:t>
      </w:r>
      <w:r w:rsidR="001857DD" w:rsidRPr="005E7AA7">
        <w:rPr>
          <w:rFonts w:ascii="Garamond" w:hAnsi="Garamond"/>
          <w:sz w:val="22"/>
          <w:szCs w:val="22"/>
        </w:rPr>
        <w:lastRenderedPageBreak/>
        <w:t xml:space="preserve">drinking alcohol </w:t>
      </w:r>
      <w:r w:rsidR="001857DD" w:rsidRPr="005E7AA7">
        <w:rPr>
          <w:rFonts w:ascii="Garamond" w:hAnsi="Garamond"/>
          <w:sz w:val="22"/>
          <w:szCs w:val="22"/>
        </w:rPr>
        <w:fldChar w:fldCharType="begin" w:fldLock="1"/>
      </w:r>
      <w:r w:rsidR="00033477" w:rsidRPr="005E7AA7">
        <w:rPr>
          <w:rFonts w:ascii="Garamond" w:hAnsi="Garamond"/>
          <w:sz w:val="22"/>
          <w:szCs w:val="22"/>
        </w:rPr>
        <w:instrText>ADDIN CSL_CITATION { "citationItems" : [ { "id" : "ITEM-1", "itemData" : { "author" : [ { "dropping-particle" : "", "family" : "Eber", "given" : "Christine", "non-dropping-particle" : "", "parse-names" : false, "suffix" : "" } ], "edition" : "Second", "id" : "ITEM-1", "issued" : { "date-parts" : [ [ "2000" ] ] }, "publisher" : "University of Texas Press", "publisher-place" : "Austin", "title" : "Women and Alcohol in a Highland Maya Town: Water of Hope, Water of Sorrow", "type" : "book" }, "uris" : [ "http://www.mendeley.com/documents/?uuid=8697e1f1-cd95-46fb-bad0-50b747a6efd6", "http://www.mendeley.com/documents/?uuid=5e5d6481-5367-4a94-88e9-e211f80a5f2d" ] }, { "id" : "ITEM-2", "itemData" : { "author" : [ { "dropping-particle" : "", "family" : "Kovic", "given" : "Christine", "non-dropping-particle" : "", "parse-names" : false, "suffix" : "" } ], "id" : "ITEM-2", "issued" : { "date-parts" : [ [ "2005" ] ] }, "publisher" : "University of Texas Press", "publisher-place" : "Austin", "title" : "Mayan Voices for Human Rights: Displaced Catholics in Highland Chiapas", "type" : "book" }, "uris" : [ "http://www.mendeley.com/documents/?uuid=2025bf5c-82b4-40ec-b9be-960823bdd95c", "http://www.mendeley.com/documents/?uuid=a1d2e082-c035-4b5e-83f3-5211d0d3aba6" ] }, { "id" : "ITEM-3", "itemData" : { "URL" : "http://english.periodismohumano.com/2013/03/05/the-coca-colization-of-mexico-the-spark-of-obesity/", "accessed" : { "date-parts" : [ [ "2014", "1", "11" ] ] }, "author" : [ { "dropping-particle" : "", "family" : "Verza", "given" : "Maria", "non-dropping-particle" : "", "parse-names" : false, "suffix" : "" } ], "container-title" : "periodismohumano", "id" : "ITEM-3", "issued" : { "date-parts" : [ [ "2013" ] ] }, "title" : "The \u201cCoca-Colization\u201d of Mexico, the Spark of Obesity", "type" : "webpage" }, "uris" : [ "http://www.mendeley.com/documents/?uuid=16db957b-4188-4daf-a0ed-1670a6ab34fa" ] } ], "mendeley" : { "previouslyFormattedCitation" : "(Eber, 2000; Kovic, 2005; Verza, 2013)" }, "properties" : { "noteIndex" : 0 }, "schema" : "https://github.com/citation-style-language/schema/raw/master/csl-citation.json" }</w:instrText>
      </w:r>
      <w:r w:rsidR="001857DD" w:rsidRPr="005E7AA7">
        <w:rPr>
          <w:rFonts w:ascii="Garamond" w:hAnsi="Garamond"/>
          <w:sz w:val="22"/>
          <w:szCs w:val="22"/>
        </w:rPr>
        <w:fldChar w:fldCharType="separate"/>
      </w:r>
      <w:r w:rsidR="00DD318C" w:rsidRPr="005E7AA7">
        <w:rPr>
          <w:rFonts w:ascii="Garamond" w:hAnsi="Garamond"/>
          <w:noProof/>
          <w:sz w:val="22"/>
          <w:szCs w:val="22"/>
        </w:rPr>
        <w:t>(Eber, 2000; Kovic, 2005; Verza, 2013)</w:t>
      </w:r>
      <w:r w:rsidR="001857DD" w:rsidRPr="005E7AA7">
        <w:rPr>
          <w:rFonts w:ascii="Garamond" w:hAnsi="Garamond"/>
          <w:sz w:val="22"/>
          <w:szCs w:val="22"/>
        </w:rPr>
        <w:fldChar w:fldCharType="end"/>
      </w:r>
      <w:r w:rsidR="001857DD" w:rsidRPr="005E7AA7">
        <w:rPr>
          <w:rFonts w:ascii="Garamond" w:hAnsi="Garamond"/>
          <w:sz w:val="22"/>
          <w:szCs w:val="22"/>
        </w:rPr>
        <w:t xml:space="preserve">. </w:t>
      </w:r>
      <w:r w:rsidR="004015D2" w:rsidRPr="005E7AA7">
        <w:rPr>
          <w:rFonts w:ascii="Garamond" w:hAnsi="Garamond"/>
          <w:sz w:val="22"/>
          <w:szCs w:val="22"/>
        </w:rPr>
        <w:t>The evangelicals are another type of globalization, as these religious groups originate from the United States and other wealthy nations and export their practices and ideologies to the poorer nations. The evangelicals prefer that Coke, Pepsi, or a similar soft drink be offered at social/religious gatherings. Similar pressure from global corporate and religious</w:t>
      </w:r>
      <w:r w:rsidR="001857DD" w:rsidRPr="005E7AA7">
        <w:rPr>
          <w:rFonts w:ascii="Garamond" w:hAnsi="Garamond"/>
          <w:sz w:val="22"/>
          <w:szCs w:val="22"/>
        </w:rPr>
        <w:t xml:space="preserve"> </w:t>
      </w:r>
      <w:r w:rsidR="004015D2" w:rsidRPr="005E7AA7">
        <w:rPr>
          <w:rFonts w:ascii="Garamond" w:hAnsi="Garamond"/>
          <w:sz w:val="22"/>
          <w:szCs w:val="22"/>
        </w:rPr>
        <w:t xml:space="preserve">entities </w:t>
      </w:r>
      <w:r w:rsidR="001413A7" w:rsidRPr="005E7AA7">
        <w:rPr>
          <w:rFonts w:ascii="Garamond" w:hAnsi="Garamond"/>
          <w:sz w:val="22"/>
          <w:szCs w:val="22"/>
        </w:rPr>
        <w:t xml:space="preserve">in Merida </w:t>
      </w:r>
      <w:r w:rsidR="004015D2" w:rsidRPr="005E7AA7">
        <w:rPr>
          <w:rFonts w:ascii="Garamond" w:hAnsi="Garamond"/>
          <w:sz w:val="22"/>
          <w:szCs w:val="22"/>
        </w:rPr>
        <w:t xml:space="preserve">may be encouraging the </w:t>
      </w:r>
      <w:r w:rsidR="001857DD" w:rsidRPr="005E7AA7">
        <w:rPr>
          <w:rFonts w:ascii="Garamond" w:hAnsi="Garamond"/>
          <w:sz w:val="22"/>
          <w:szCs w:val="22"/>
        </w:rPr>
        <w:t>shift from locally made beverages to globalized soft drinks.</w:t>
      </w:r>
      <w:r w:rsidR="005577FD" w:rsidRPr="005E7AA7">
        <w:rPr>
          <w:rFonts w:ascii="Garamond" w:hAnsi="Garamond"/>
          <w:sz w:val="22"/>
          <w:szCs w:val="22"/>
        </w:rPr>
        <w:t xml:space="preserve"> </w:t>
      </w:r>
    </w:p>
    <w:p w:rsidR="005C3D65" w:rsidRPr="005E7AA7" w:rsidRDefault="005C3D65" w:rsidP="005C3D65">
      <w:pPr>
        <w:rPr>
          <w:rFonts w:ascii="Garamond" w:hAnsi="Garamond"/>
          <w:bCs/>
          <w:sz w:val="22"/>
          <w:szCs w:val="22"/>
          <w:lang w:val="en-US"/>
        </w:rPr>
      </w:pPr>
      <w:r w:rsidRPr="005E7AA7">
        <w:rPr>
          <w:rFonts w:ascii="Garamond" w:hAnsi="Garamond"/>
          <w:bCs/>
          <w:sz w:val="22"/>
          <w:szCs w:val="22"/>
          <w:lang w:val="en-US"/>
        </w:rPr>
        <w:t>Conclusion</w:t>
      </w:r>
    </w:p>
    <w:p w:rsidR="001670D3" w:rsidRPr="005E7AA7" w:rsidRDefault="003D4138" w:rsidP="005E7AA7">
      <w:pPr>
        <w:rPr>
          <w:rFonts w:ascii="Garamond" w:hAnsi="Garamond"/>
          <w:bCs/>
          <w:sz w:val="22"/>
          <w:szCs w:val="22"/>
          <w:lang w:val="en-US"/>
        </w:rPr>
      </w:pPr>
      <w:r w:rsidRPr="005E7AA7">
        <w:rPr>
          <w:rFonts w:ascii="Garamond" w:hAnsi="Garamond"/>
          <w:bCs/>
          <w:sz w:val="22"/>
          <w:szCs w:val="22"/>
          <w:lang w:val="en-US"/>
        </w:rPr>
        <w:t xml:space="preserve">The </w:t>
      </w:r>
      <w:r w:rsidR="005C3D65" w:rsidRPr="005E7AA7">
        <w:rPr>
          <w:rFonts w:ascii="Garamond" w:hAnsi="Garamond"/>
          <w:bCs/>
          <w:sz w:val="22"/>
          <w:szCs w:val="22"/>
          <w:lang w:val="en-US"/>
        </w:rPr>
        <w:t xml:space="preserve">globalized diet </w:t>
      </w:r>
      <w:r w:rsidRPr="005E7AA7">
        <w:rPr>
          <w:rFonts w:ascii="Garamond" w:hAnsi="Garamond"/>
          <w:bCs/>
          <w:sz w:val="22"/>
          <w:szCs w:val="22"/>
          <w:lang w:val="en-US"/>
        </w:rPr>
        <w:t xml:space="preserve">of the Maya is not </w:t>
      </w:r>
      <w:r w:rsidR="005C3D65" w:rsidRPr="005E7AA7">
        <w:rPr>
          <w:rFonts w:ascii="Garamond" w:hAnsi="Garamond"/>
          <w:bCs/>
          <w:sz w:val="22"/>
          <w:szCs w:val="22"/>
          <w:lang w:val="en-US"/>
        </w:rPr>
        <w:t>an isolated case</w:t>
      </w:r>
      <w:r w:rsidR="00147555" w:rsidRPr="005E7AA7">
        <w:rPr>
          <w:rFonts w:ascii="Garamond" w:hAnsi="Garamond"/>
          <w:bCs/>
          <w:sz w:val="22"/>
          <w:szCs w:val="22"/>
          <w:lang w:val="en-US"/>
        </w:rPr>
        <w:t xml:space="preserve">. Communities around the world are experiencing similar types of nutrition transitions and the associated health consequences. The Maya case is a bit more poignant because </w:t>
      </w:r>
      <w:r w:rsidR="005C3D65" w:rsidRPr="005E7AA7">
        <w:rPr>
          <w:rFonts w:ascii="Garamond" w:hAnsi="Garamond"/>
          <w:bCs/>
          <w:sz w:val="22"/>
          <w:szCs w:val="22"/>
          <w:lang w:val="en-US"/>
        </w:rPr>
        <w:t xml:space="preserve">following the Conquest and colonization by European powers more than 500 years </w:t>
      </w:r>
      <w:proofErr w:type="gramStart"/>
      <w:r w:rsidR="005C3D65" w:rsidRPr="005E7AA7">
        <w:rPr>
          <w:rFonts w:ascii="Garamond" w:hAnsi="Garamond"/>
          <w:bCs/>
          <w:sz w:val="22"/>
          <w:szCs w:val="22"/>
          <w:lang w:val="en-US"/>
        </w:rPr>
        <w:t>ago,</w:t>
      </w:r>
      <w:proofErr w:type="gramEnd"/>
      <w:r w:rsidR="005C3D65" w:rsidRPr="005E7AA7">
        <w:rPr>
          <w:rFonts w:ascii="Garamond" w:hAnsi="Garamond"/>
          <w:bCs/>
          <w:sz w:val="22"/>
          <w:szCs w:val="22"/>
          <w:lang w:val="en-US"/>
        </w:rPr>
        <w:t xml:space="preserve"> </w:t>
      </w:r>
      <w:r w:rsidR="00147555" w:rsidRPr="005E7AA7">
        <w:rPr>
          <w:rFonts w:ascii="Garamond" w:hAnsi="Garamond"/>
          <w:bCs/>
          <w:sz w:val="22"/>
          <w:szCs w:val="22"/>
          <w:lang w:val="en-US"/>
        </w:rPr>
        <w:t>the Maya suffered under-nutrition, with short stature, thinness, and high infant</w:t>
      </w:r>
      <w:r w:rsidR="005C3D65" w:rsidRPr="005E7AA7">
        <w:rPr>
          <w:rFonts w:ascii="Garamond" w:hAnsi="Garamond"/>
          <w:bCs/>
          <w:sz w:val="22"/>
          <w:szCs w:val="22"/>
          <w:lang w:val="en-US"/>
        </w:rPr>
        <w:t xml:space="preserve"> and child mortality</w:t>
      </w:r>
      <w:r w:rsidR="00147555" w:rsidRPr="005E7AA7">
        <w:rPr>
          <w:rFonts w:ascii="Garamond" w:hAnsi="Garamond"/>
          <w:bCs/>
          <w:sz w:val="22"/>
          <w:szCs w:val="22"/>
          <w:lang w:val="en-US"/>
        </w:rPr>
        <w:t xml:space="preserve">. </w:t>
      </w:r>
      <w:r w:rsidR="00B95B7A" w:rsidRPr="005E7AA7">
        <w:rPr>
          <w:rFonts w:ascii="Garamond" w:hAnsi="Garamond"/>
          <w:bCs/>
          <w:sz w:val="22"/>
          <w:szCs w:val="22"/>
          <w:lang w:val="en-US"/>
        </w:rPr>
        <w:t xml:space="preserve">Today, </w:t>
      </w:r>
      <w:r w:rsidR="00147555" w:rsidRPr="005E7AA7">
        <w:rPr>
          <w:rFonts w:ascii="Garamond" w:hAnsi="Garamond"/>
          <w:bCs/>
          <w:sz w:val="22"/>
          <w:szCs w:val="22"/>
          <w:lang w:val="en-US"/>
        </w:rPr>
        <w:t xml:space="preserve">the Maya face a new mixture of nutritional threats </w:t>
      </w:r>
      <w:r w:rsidR="005C3D65" w:rsidRPr="005E7AA7">
        <w:rPr>
          <w:rFonts w:ascii="Garamond" w:hAnsi="Garamond"/>
          <w:bCs/>
          <w:sz w:val="22"/>
          <w:szCs w:val="22"/>
          <w:lang w:val="en-US"/>
        </w:rPr>
        <w:t>from diets that are supplied by multinational corporations. Many</w:t>
      </w:r>
      <w:r w:rsidR="00B95B7A" w:rsidRPr="005E7AA7">
        <w:rPr>
          <w:rFonts w:ascii="Garamond" w:hAnsi="Garamond"/>
          <w:bCs/>
          <w:sz w:val="22"/>
          <w:szCs w:val="22"/>
          <w:lang w:val="en-US"/>
        </w:rPr>
        <w:t xml:space="preserve"> </w:t>
      </w:r>
      <w:r w:rsidR="005C3D65" w:rsidRPr="005E7AA7">
        <w:rPr>
          <w:rFonts w:ascii="Garamond" w:hAnsi="Garamond"/>
          <w:bCs/>
          <w:sz w:val="22"/>
          <w:szCs w:val="22"/>
          <w:lang w:val="en-US"/>
        </w:rPr>
        <w:t>local foods remain part of the Maya diet, such as tortillas</w:t>
      </w:r>
      <w:r w:rsidR="005A5349" w:rsidRPr="005E7AA7">
        <w:rPr>
          <w:rFonts w:ascii="Garamond" w:hAnsi="Garamond"/>
          <w:bCs/>
          <w:sz w:val="22"/>
          <w:szCs w:val="22"/>
          <w:lang w:val="en-US"/>
        </w:rPr>
        <w:t>, but even these local foods are increasingly globalized. Factory manufactured tortillas, for example, may be made fro</w:t>
      </w:r>
      <w:r w:rsidR="0044050E" w:rsidRPr="005E7AA7">
        <w:rPr>
          <w:rFonts w:ascii="Garamond" w:hAnsi="Garamond"/>
          <w:bCs/>
          <w:sz w:val="22"/>
          <w:szCs w:val="22"/>
          <w:lang w:val="en-US"/>
        </w:rPr>
        <w:t>m non-local ingredients</w:t>
      </w:r>
      <w:r w:rsidR="00CD1FC5" w:rsidRPr="005E7AA7">
        <w:rPr>
          <w:rFonts w:ascii="Garamond" w:hAnsi="Garamond"/>
          <w:bCs/>
          <w:sz w:val="22"/>
          <w:szCs w:val="22"/>
          <w:lang w:val="en-US"/>
        </w:rPr>
        <w:t>, even non-traditional ingredients</w:t>
      </w:r>
      <w:r w:rsidR="0044050E" w:rsidRPr="005E7AA7">
        <w:rPr>
          <w:rFonts w:ascii="Garamond" w:hAnsi="Garamond"/>
          <w:bCs/>
          <w:sz w:val="22"/>
          <w:szCs w:val="22"/>
          <w:lang w:val="en-US"/>
        </w:rPr>
        <w:t xml:space="preserve"> and may displace local production</w:t>
      </w:r>
      <w:r w:rsidR="005C3D65" w:rsidRPr="005E7AA7">
        <w:rPr>
          <w:rFonts w:ascii="Garamond" w:hAnsi="Garamond"/>
          <w:bCs/>
          <w:sz w:val="22"/>
          <w:szCs w:val="22"/>
          <w:lang w:val="en-US"/>
        </w:rPr>
        <w:t xml:space="preserve"> </w:t>
      </w:r>
      <w:r w:rsidRPr="005E7AA7">
        <w:rPr>
          <w:rFonts w:ascii="Garamond" w:hAnsi="Garamond"/>
          <w:bCs/>
          <w:sz w:val="22"/>
          <w:szCs w:val="22"/>
          <w:lang w:val="en-US"/>
        </w:rPr>
        <w:t xml:space="preserve">and </w:t>
      </w:r>
      <w:r w:rsidR="0044050E" w:rsidRPr="005E7AA7">
        <w:rPr>
          <w:rFonts w:ascii="Garamond" w:hAnsi="Garamond"/>
          <w:bCs/>
          <w:sz w:val="22"/>
          <w:szCs w:val="22"/>
          <w:lang w:val="en-US"/>
        </w:rPr>
        <w:t xml:space="preserve">sales networks </w:t>
      </w:r>
      <w:r w:rsidR="00CD1FC5" w:rsidRPr="005E7AA7">
        <w:rPr>
          <w:rFonts w:ascii="Garamond" w:hAnsi="Garamond"/>
          <w:bCs/>
          <w:sz w:val="22"/>
          <w:szCs w:val="22"/>
          <w:lang w:val="en-US"/>
        </w:rPr>
        <w:fldChar w:fldCharType="begin" w:fldLock="1"/>
      </w:r>
      <w:r w:rsidR="00033477" w:rsidRPr="005E7AA7">
        <w:rPr>
          <w:rFonts w:ascii="Garamond" w:hAnsi="Garamond"/>
          <w:bCs/>
          <w:sz w:val="22"/>
          <w:szCs w:val="22"/>
          <w:lang w:val="en-US"/>
        </w:rPr>
        <w:instrText>ADDIN CSL_CITATION { "citationItems" : [ { "id" : "ITEM-1", "itemData" : { "DOI" : "10.1023/B:AHUM.0000014018.76118.06", "ISSN" : "0889-048X", "author" : [ { "dropping-particle" : "", "family" : "Lind", "given" : "David", "non-dropping-particle" : "", "parse-names" : false, "suffix" : "" }, { "dropping-particle" : "", "family" : "Barham", "given" : "Elizabeth", "non-dropping-particle" : "", "parse-names" : false, "suffix" : "" } ], "container-title" : "Agriculture and Human Values", "id" : "ITEM-1", "issue" : "1", "issued" : { "date-parts" : [ [ "2004" ] ] }, "page" : "47-60", "title" : "The social life of the tortilla: Food, cultural politics, and contested commodification", "type" : "article-journal", "volume" : "21" }, "uris" : [ "http://www.mendeley.com/documents/?uuid=87a232f8-1f16-4d23-893a-b2e8d796faaf" ] } ], "mendeley" : { "previouslyFormattedCitation" : "(Lind and Barham, 2004)" }, "properties" : { "noteIndex" : 0 }, "schema" : "https://github.com/citation-style-language/schema/raw/master/csl-citation.json" }</w:instrText>
      </w:r>
      <w:r w:rsidR="00CD1FC5" w:rsidRPr="005E7AA7">
        <w:rPr>
          <w:rFonts w:ascii="Garamond" w:hAnsi="Garamond"/>
          <w:bCs/>
          <w:sz w:val="22"/>
          <w:szCs w:val="22"/>
          <w:lang w:val="en-US"/>
        </w:rPr>
        <w:fldChar w:fldCharType="separate"/>
      </w:r>
      <w:r w:rsidR="00CD1FC5" w:rsidRPr="005E7AA7">
        <w:rPr>
          <w:rFonts w:ascii="Garamond" w:hAnsi="Garamond"/>
          <w:bCs/>
          <w:noProof/>
          <w:sz w:val="22"/>
          <w:szCs w:val="22"/>
          <w:lang w:val="en-US"/>
        </w:rPr>
        <w:t>(Lind and Barham, 2004)</w:t>
      </w:r>
      <w:r w:rsidR="00CD1FC5" w:rsidRPr="005E7AA7">
        <w:rPr>
          <w:rFonts w:ascii="Garamond" w:hAnsi="Garamond"/>
          <w:bCs/>
          <w:sz w:val="22"/>
          <w:szCs w:val="22"/>
          <w:lang w:val="en-US"/>
        </w:rPr>
        <w:fldChar w:fldCharType="end"/>
      </w:r>
      <w:r w:rsidR="00CD1FC5" w:rsidRPr="005E7AA7">
        <w:rPr>
          <w:rFonts w:ascii="Garamond" w:hAnsi="Garamond"/>
          <w:bCs/>
          <w:sz w:val="22"/>
          <w:szCs w:val="22"/>
          <w:lang w:val="en-US"/>
        </w:rPr>
        <w:t xml:space="preserve">. All </w:t>
      </w:r>
      <w:r w:rsidR="008D1716" w:rsidRPr="005E7AA7">
        <w:rPr>
          <w:rFonts w:ascii="Garamond" w:hAnsi="Garamond"/>
          <w:bCs/>
          <w:sz w:val="22"/>
          <w:szCs w:val="22"/>
          <w:lang w:val="en-US"/>
        </w:rPr>
        <w:t>societies</w:t>
      </w:r>
      <w:r w:rsidRPr="005E7AA7">
        <w:rPr>
          <w:rFonts w:ascii="Garamond" w:hAnsi="Garamond"/>
          <w:bCs/>
          <w:sz w:val="22"/>
          <w:szCs w:val="22"/>
          <w:lang w:val="en-US"/>
        </w:rPr>
        <w:t xml:space="preserve"> must come to terms with food globalization</w:t>
      </w:r>
      <w:r w:rsidR="008D1716" w:rsidRPr="005E7AA7">
        <w:rPr>
          <w:rFonts w:ascii="Garamond" w:hAnsi="Garamond"/>
          <w:bCs/>
          <w:sz w:val="22"/>
          <w:szCs w:val="22"/>
          <w:lang w:val="en-US"/>
        </w:rPr>
        <w:t>. Research is a first step toward a better understanding of the reasons for, and consequences of, food globalization. The next step is to translate research findings into</w:t>
      </w:r>
      <w:r w:rsidRPr="005E7AA7">
        <w:rPr>
          <w:rFonts w:ascii="Garamond" w:hAnsi="Garamond"/>
          <w:bCs/>
          <w:sz w:val="22"/>
          <w:szCs w:val="22"/>
          <w:lang w:val="en-US"/>
        </w:rPr>
        <w:t xml:space="preserve"> </w:t>
      </w:r>
      <w:r w:rsidR="008D1716" w:rsidRPr="005E7AA7">
        <w:rPr>
          <w:rFonts w:ascii="Garamond" w:hAnsi="Garamond"/>
          <w:bCs/>
          <w:sz w:val="22"/>
          <w:szCs w:val="22"/>
          <w:lang w:val="en-US"/>
        </w:rPr>
        <w:t>social, economic, and political action to improve</w:t>
      </w:r>
      <w:r w:rsidRPr="005E7AA7">
        <w:rPr>
          <w:rFonts w:ascii="Garamond" w:hAnsi="Garamond"/>
          <w:bCs/>
          <w:sz w:val="22"/>
          <w:szCs w:val="22"/>
          <w:lang w:val="en-US"/>
        </w:rPr>
        <w:t xml:space="preserve"> child health and well-being.</w:t>
      </w:r>
      <w:r w:rsidR="001670D3" w:rsidRPr="005E7AA7">
        <w:rPr>
          <w:rFonts w:ascii="Garamond" w:hAnsi="Garamond"/>
          <w:bCs/>
          <w:sz w:val="22"/>
          <w:szCs w:val="22"/>
          <w:lang w:val="en-US"/>
        </w:rPr>
        <w:t xml:space="preserve"> Enabling people to increase local control of their diet is one possible research translation. Almost all of the 58 Maya homes we visited have garden space, but very few grow any food. Promoting the development of home vegetable and fruit gardens may be one effective intervention to improve diet and health.</w:t>
      </w:r>
    </w:p>
    <w:p w:rsidR="00F9046C" w:rsidRPr="005E7AA7" w:rsidRDefault="00F9046C" w:rsidP="00F9046C">
      <w:pPr>
        <w:rPr>
          <w:rFonts w:ascii="Garamond" w:hAnsi="Garamond"/>
          <w:sz w:val="22"/>
          <w:szCs w:val="22"/>
          <w:lang w:val="en-US"/>
        </w:rPr>
      </w:pPr>
      <w:r w:rsidRPr="005E7AA7">
        <w:rPr>
          <w:rFonts w:ascii="Garamond" w:hAnsi="Garamond"/>
          <w:sz w:val="22"/>
          <w:szCs w:val="22"/>
          <w:lang w:val="en-US"/>
        </w:rPr>
        <w:t>Acknowledgments</w:t>
      </w:r>
    </w:p>
    <w:p w:rsidR="008E1D69" w:rsidRPr="005E7AA7" w:rsidRDefault="00F9046C" w:rsidP="003E568A">
      <w:pPr>
        <w:rPr>
          <w:rFonts w:ascii="Garamond" w:hAnsi="Garamond"/>
          <w:sz w:val="22"/>
          <w:szCs w:val="22"/>
          <w:lang w:val="en-US"/>
        </w:rPr>
      </w:pPr>
      <w:r w:rsidRPr="005E7AA7">
        <w:rPr>
          <w:rFonts w:ascii="Garamond" w:hAnsi="Garamond"/>
          <w:bCs/>
          <w:sz w:val="22"/>
          <w:szCs w:val="22"/>
          <w:lang w:val="en-US"/>
        </w:rPr>
        <w:t xml:space="preserve">The research reported here is part of The Maya Project </w:t>
      </w:r>
      <w:hyperlink r:id="rId20" w:history="1">
        <w:r w:rsidRPr="005E7AA7">
          <w:rPr>
            <w:rStyle w:val="Hyperlink"/>
            <w:rFonts w:ascii="Garamond" w:hAnsi="Garamond"/>
            <w:bCs/>
            <w:sz w:val="22"/>
            <w:szCs w:val="22"/>
            <w:lang w:val="en-US"/>
          </w:rPr>
          <w:t>http://mayaproject.org.uk</w:t>
        </w:r>
      </w:hyperlink>
      <w:r w:rsidRPr="005E7AA7">
        <w:rPr>
          <w:rFonts w:ascii="Garamond" w:hAnsi="Garamond"/>
          <w:bCs/>
          <w:sz w:val="22"/>
          <w:szCs w:val="22"/>
          <w:lang w:val="en-US"/>
        </w:rPr>
        <w:t>. Created in 2012, The Maya Project is a combination of biocultural research</w:t>
      </w:r>
      <w:r w:rsidR="007F7091" w:rsidRPr="005E7AA7">
        <w:rPr>
          <w:rFonts w:ascii="Garamond" w:hAnsi="Garamond"/>
          <w:bCs/>
          <w:sz w:val="22"/>
          <w:szCs w:val="22"/>
          <w:lang w:val="en-US"/>
        </w:rPr>
        <w:t>, fine arts,</w:t>
      </w:r>
      <w:r w:rsidRPr="005E7AA7">
        <w:rPr>
          <w:rFonts w:ascii="Garamond" w:hAnsi="Garamond"/>
          <w:bCs/>
          <w:sz w:val="22"/>
          <w:szCs w:val="22"/>
          <w:lang w:val="en-US"/>
        </w:rPr>
        <w:t xml:space="preserve"> and </w:t>
      </w:r>
      <w:r w:rsidR="007F7091" w:rsidRPr="005E7AA7">
        <w:rPr>
          <w:rFonts w:ascii="Garamond" w:hAnsi="Garamond"/>
          <w:bCs/>
          <w:sz w:val="22"/>
          <w:szCs w:val="22"/>
          <w:lang w:val="en-US"/>
        </w:rPr>
        <w:t>public engagement</w:t>
      </w:r>
      <w:r w:rsidRPr="005E7AA7">
        <w:rPr>
          <w:rFonts w:ascii="Garamond" w:hAnsi="Garamond"/>
          <w:bCs/>
          <w:sz w:val="22"/>
          <w:szCs w:val="22"/>
          <w:lang w:val="en-US"/>
        </w:rPr>
        <w:t xml:space="preserve">. The goal is to accurately represent the living Maya people. The Maya Project achieves this goal through </w:t>
      </w:r>
      <w:r w:rsidR="006F497F" w:rsidRPr="005E7AA7">
        <w:rPr>
          <w:rFonts w:ascii="Garamond" w:hAnsi="Garamond"/>
          <w:bCs/>
          <w:sz w:val="22"/>
          <w:szCs w:val="22"/>
          <w:lang w:val="en-US"/>
        </w:rPr>
        <w:t xml:space="preserve">the </w:t>
      </w:r>
      <w:r w:rsidRPr="005E7AA7">
        <w:rPr>
          <w:rFonts w:ascii="Garamond" w:hAnsi="Garamond"/>
          <w:bCs/>
          <w:sz w:val="22"/>
          <w:szCs w:val="22"/>
          <w:lang w:val="en-US"/>
        </w:rPr>
        <w:t xml:space="preserve">photography, paintings, music, crafts, and writing of Maya artists, as well as non-Maya artists and researchers. </w:t>
      </w:r>
      <w:r w:rsidRPr="005E7AA7">
        <w:rPr>
          <w:rFonts w:ascii="Garamond" w:hAnsi="Garamond"/>
          <w:sz w:val="22"/>
          <w:szCs w:val="22"/>
          <w:lang w:val="en-US"/>
        </w:rPr>
        <w:t xml:space="preserve">The authors thank the </w:t>
      </w:r>
      <w:proofErr w:type="spellStart"/>
      <w:r w:rsidRPr="005E7AA7">
        <w:rPr>
          <w:rFonts w:ascii="Garamond" w:hAnsi="Garamond"/>
          <w:sz w:val="22"/>
          <w:szCs w:val="22"/>
          <w:lang w:val="en-US"/>
        </w:rPr>
        <w:t>Wenner-Gren</w:t>
      </w:r>
      <w:proofErr w:type="spellEnd"/>
      <w:r w:rsidRPr="005E7AA7">
        <w:rPr>
          <w:rFonts w:ascii="Garamond" w:hAnsi="Garamond"/>
          <w:sz w:val="22"/>
          <w:szCs w:val="22"/>
          <w:lang w:val="en-US"/>
        </w:rPr>
        <w:t xml:space="preserve"> Foundation (#IRCG-93) and Santander Universities at Loughborough University for funding this research. Janice Tut-Be provided valuable assistance in fieldwork. The cooperation of the Maya mothers and their children, as well as local primary schools in the Maya neighborhoods, is very much appreciated.  </w:t>
      </w:r>
    </w:p>
    <w:p w:rsidR="00567CCA" w:rsidRPr="005E7AA7" w:rsidRDefault="00567CCA">
      <w:pPr>
        <w:pStyle w:val="NormalWeb"/>
        <w:ind w:left="480" w:hanging="480"/>
        <w:divId w:val="663509699"/>
        <w:rPr>
          <w:rFonts w:ascii="Garamond" w:hAnsi="Garamond" w:cs="Arial"/>
          <w:sz w:val="22"/>
          <w:szCs w:val="22"/>
          <w:lang w:val="en-US"/>
        </w:rPr>
      </w:pPr>
      <w:r w:rsidRPr="005E7AA7">
        <w:rPr>
          <w:rFonts w:ascii="Garamond" w:hAnsi="Garamond" w:cs="Arial"/>
          <w:sz w:val="22"/>
          <w:szCs w:val="22"/>
          <w:lang w:val="en-US"/>
        </w:rPr>
        <w:t>References</w:t>
      </w:r>
    </w:p>
    <w:p w:rsidR="00033477" w:rsidRPr="005E7AA7" w:rsidRDefault="00567CCA">
      <w:pPr>
        <w:pStyle w:val="NormalWeb"/>
        <w:ind w:left="480" w:hanging="480"/>
        <w:divId w:val="403793585"/>
        <w:rPr>
          <w:rFonts w:ascii="Garamond" w:eastAsiaTheme="minorEastAsia" w:hAnsi="Garamond" w:cs="Arial"/>
          <w:noProof/>
          <w:sz w:val="22"/>
          <w:szCs w:val="22"/>
        </w:rPr>
      </w:pPr>
      <w:r w:rsidRPr="005E7AA7">
        <w:rPr>
          <w:rFonts w:ascii="Garamond" w:hAnsi="Garamond"/>
          <w:sz w:val="22"/>
          <w:szCs w:val="22"/>
          <w:lang w:val="en-US"/>
        </w:rPr>
        <w:fldChar w:fldCharType="begin" w:fldLock="1"/>
      </w:r>
      <w:r w:rsidRPr="005E7AA7">
        <w:rPr>
          <w:rFonts w:ascii="Garamond" w:hAnsi="Garamond"/>
          <w:sz w:val="22"/>
          <w:szCs w:val="22"/>
          <w:lang w:val="en-US"/>
        </w:rPr>
        <w:instrText xml:space="preserve">ADDIN Mendeley Bibliography CSL_BIBLIOGRAPHY </w:instrText>
      </w:r>
      <w:r w:rsidRPr="005E7AA7">
        <w:rPr>
          <w:rFonts w:ascii="Garamond" w:hAnsi="Garamond"/>
          <w:sz w:val="22"/>
          <w:szCs w:val="22"/>
          <w:lang w:val="en-US"/>
        </w:rPr>
        <w:fldChar w:fldCharType="separate"/>
      </w:r>
      <w:r w:rsidR="00033477" w:rsidRPr="005E7AA7">
        <w:rPr>
          <w:rFonts w:ascii="Garamond" w:hAnsi="Garamond" w:cs="Arial"/>
          <w:noProof/>
          <w:sz w:val="22"/>
          <w:szCs w:val="22"/>
        </w:rPr>
        <w:t>Albrow M, and King E. 1990. Globalization, Knowledge and Society. London: Sage.</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Al-Rodhan NRF. 2006. Definitions of Globalization</w:t>
      </w:r>
      <w:r w:rsidRPr="005E7AA7">
        <w:rPr>
          <w:noProof/>
          <w:sz w:val="22"/>
          <w:szCs w:val="22"/>
        </w:rPr>
        <w:t> </w:t>
      </w:r>
      <w:r w:rsidRPr="005E7AA7">
        <w:rPr>
          <w:rFonts w:ascii="Garamond" w:hAnsi="Garamond" w:cs="Arial"/>
          <w:noProof/>
          <w:sz w:val="22"/>
          <w:szCs w:val="22"/>
        </w:rPr>
        <w:t>: A Comprehensive Overview and a Proposed Definition. Geneva.</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Azcorra H, Wilson HJ, Bogin B, Varela-Silva MI, Vázquez-Vázquez A, and Dickinson F. Dietetic characteristics of a sample of Mayan dual burden households in Merida, Yucatan, Mexico. Arch. Latinoam. Nutr.</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Bermudez OI, Hernandez L, Mazariegos M, and Solomons NW. 2008. Secular trends in food patterns of Guatemalan consumers: new foods for old. Food Nutr. Bull. 29:278–87.</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lastRenderedPageBreak/>
        <w:t>Bogin B, and Keep R. 1999. Eight thousand years of economic and political history in Latin America revealed by anthropometry. Ann. Hum. Biol. 26:333–351.</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Bogin B, Smith P, Orden AB, Varela Silva MI, and Loucky J. 2002. Rapid change in height and body proportions of Maya American children. Am. J. Hum. Biol. Off. J. Hum. Biol. Counc. 14:753–761.</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Bogin B. 1998. From caveman cuisine to fast food: the evolution of human nutrition. Growth Horm. IGF Res. 8 Suppl B:79–86.</w:t>
      </w:r>
    </w:p>
    <w:p w:rsidR="00033477" w:rsidRPr="005E7AA7" w:rsidRDefault="00033477">
      <w:pPr>
        <w:pStyle w:val="NormalWeb"/>
        <w:ind w:left="480" w:hanging="480"/>
        <w:divId w:val="403793585"/>
        <w:rPr>
          <w:rFonts w:ascii="Garamond" w:hAnsi="Garamond" w:cs="Arial"/>
          <w:noProof/>
          <w:sz w:val="22"/>
          <w:szCs w:val="22"/>
          <w:lang w:val="es-MX"/>
        </w:rPr>
      </w:pPr>
      <w:r w:rsidRPr="005E7AA7">
        <w:rPr>
          <w:rFonts w:ascii="Garamond" w:hAnsi="Garamond" w:cs="Arial"/>
          <w:noProof/>
          <w:sz w:val="22"/>
          <w:szCs w:val="22"/>
        </w:rPr>
        <w:t xml:space="preserve">Bogin B. 2013. The Maya in Disneyland: Child Growth as a Marker of Nutritional, Economic, and Political Ecology. In: Dufour DL, Goodman AH, Pelto GH, editors. Nutritional Anthropology: Biocultural Perspectives on Food and Nutrition. </w:t>
      </w:r>
      <w:r w:rsidRPr="005E7AA7">
        <w:rPr>
          <w:rFonts w:ascii="Garamond" w:hAnsi="Garamond" w:cs="Arial"/>
          <w:noProof/>
          <w:sz w:val="22"/>
          <w:szCs w:val="22"/>
          <w:lang w:val="es-MX"/>
        </w:rPr>
        <w:t>Second. Oxford: Oxford University Press. p 231–244.</w:t>
      </w:r>
    </w:p>
    <w:p w:rsidR="00033477" w:rsidRPr="005E7AA7" w:rsidRDefault="00033477">
      <w:pPr>
        <w:pStyle w:val="NormalWeb"/>
        <w:ind w:left="480" w:hanging="480"/>
        <w:divId w:val="403793585"/>
        <w:rPr>
          <w:rFonts w:ascii="Garamond" w:hAnsi="Garamond" w:cs="Arial"/>
          <w:noProof/>
          <w:sz w:val="22"/>
          <w:szCs w:val="22"/>
          <w:lang w:val="es-MX"/>
        </w:rPr>
      </w:pPr>
      <w:r w:rsidRPr="005E7AA7">
        <w:rPr>
          <w:rFonts w:ascii="Garamond" w:hAnsi="Garamond" w:cs="Arial"/>
          <w:noProof/>
          <w:sz w:val="22"/>
          <w:szCs w:val="22"/>
          <w:lang w:val="es-MX"/>
        </w:rPr>
        <w:t>Bonfil Batalla G. 2006. Diagnóstico sobre el hambre en Sudzal, Yucatán: un ensayo de antropología aplicada. Mexico, D.F.: Centro de Investigaciones y Estudios Superiores en Antropología Social, Universidad Autónoma Metropolitana: Universidad Iberoaméricana.</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lang w:val="es-MX"/>
        </w:rPr>
        <w:t xml:space="preserve">Bracamonte y Sosa P, and Lizama Quijano J. 2003. Marginalidad indígena: una perspectiva historica de Yucatan. </w:t>
      </w:r>
      <w:r w:rsidRPr="005E7AA7">
        <w:rPr>
          <w:rFonts w:ascii="Garamond" w:hAnsi="Garamond" w:cs="Arial"/>
          <w:noProof/>
          <w:sz w:val="22"/>
          <w:szCs w:val="22"/>
        </w:rPr>
        <w:t>Desacatos 13:83–98.</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Castillo-Burguete MT, Viga de Alva MD, and Dickinson F. 2008. Changing the culture of dependency to allow for successful outcomes in participatory research: Fourteen years of experience in Yucatan, Mexico. In: Bradbury H, Reason P, editors. The SAGE Handbook of Action Research. London: SAGE Publications.</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Cuanalo de la Cerda HE, Ochoa Estrada E, Tuz Poot FR, and Datta Banik S. 2014. Food intake and nutrition in children 1-4 years of age in Yucatan, Mexico. Ann. Hum. Biol. 41:46–52.</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Dary O, and Imhoff-Kunsch B. 2012. Measurement of food consumption to inform food fortification and other nutrition programs: an introduction to methods and their application. Food Nutr. Bull. 33:S141–5.</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Drewnowski A, and Darmon N. 2005. Food choices and diet costs: an economic analysis. J. Nutr.:900–904.</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Dufour DL, Goodman AH, and Pelto GH. 2013. Nutritional Anthropology,. Second. Oxford.: Oxford University Press.</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Eber C. 2000. Women and Alcohol in a Highland Maya Town: Water of Hope, Water of Sorrow. Second. Austin: University of Texas Press.</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Eisenmann JC, Gundersen C, Lohman BJ, Garasky S, and Stewart SD. 2011. Is food insecurity related to overweight and obesity in children and adolescents? A summary of studies, 1995-2009. Obes. Rev. 12:e73–83.</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Frisancho AR. 2003. Reduced rate of fat oxidation: a metabolic pathway to obesity in the developing nations. Am. J. Hum. Biol. 15:522–32.</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Graham C. 2010. Happiness around the World: The Paradox of Happy Peasants and Miserable Millionaires. Oxford: Oxford University Press.</w:t>
      </w:r>
    </w:p>
    <w:p w:rsidR="00033477" w:rsidRPr="005E7AA7" w:rsidRDefault="00033477">
      <w:pPr>
        <w:pStyle w:val="NormalWeb"/>
        <w:ind w:left="480" w:hanging="480"/>
        <w:divId w:val="403793585"/>
        <w:rPr>
          <w:rFonts w:ascii="Garamond" w:hAnsi="Garamond" w:cs="Arial"/>
          <w:noProof/>
          <w:sz w:val="22"/>
          <w:szCs w:val="22"/>
          <w:lang w:val="es-MX"/>
        </w:rPr>
      </w:pPr>
      <w:r w:rsidRPr="005E7AA7">
        <w:rPr>
          <w:rFonts w:ascii="Garamond" w:hAnsi="Garamond" w:cs="Arial"/>
          <w:noProof/>
          <w:sz w:val="22"/>
          <w:szCs w:val="22"/>
        </w:rPr>
        <w:t xml:space="preserve">Han E, and Powell LM. 2014. Consumption patterns of sugar-sweetened beverages in the United States. </w:t>
      </w:r>
      <w:r w:rsidRPr="005E7AA7">
        <w:rPr>
          <w:rFonts w:ascii="Garamond" w:hAnsi="Garamond" w:cs="Arial"/>
          <w:noProof/>
          <w:sz w:val="22"/>
          <w:szCs w:val="22"/>
          <w:lang w:val="es-MX"/>
        </w:rPr>
        <w:t>J. Acad. Nutr. Diet. 113:43–53.</w:t>
      </w:r>
    </w:p>
    <w:p w:rsidR="00033477" w:rsidRPr="005E7AA7" w:rsidRDefault="00033477">
      <w:pPr>
        <w:pStyle w:val="NormalWeb"/>
        <w:ind w:left="480" w:hanging="480"/>
        <w:divId w:val="403793585"/>
        <w:rPr>
          <w:rFonts w:ascii="Garamond" w:hAnsi="Garamond" w:cs="Arial"/>
          <w:noProof/>
          <w:sz w:val="22"/>
          <w:szCs w:val="22"/>
          <w:lang w:val="es-MX"/>
        </w:rPr>
      </w:pPr>
      <w:r w:rsidRPr="005E7AA7">
        <w:rPr>
          <w:rFonts w:ascii="Garamond" w:hAnsi="Garamond" w:cs="Arial"/>
          <w:noProof/>
          <w:sz w:val="22"/>
          <w:szCs w:val="22"/>
          <w:lang w:val="es-MX"/>
        </w:rPr>
        <w:lastRenderedPageBreak/>
        <w:t>Instituto Nacional de Salud Pública. 2007. Encuesta Nacional de Salud y Nutrición 2006. Resultados por entidad federativa, Yucatán. Cuernavaca, México.</w:t>
      </w:r>
    </w:p>
    <w:p w:rsidR="00033477" w:rsidRPr="005E7AA7" w:rsidRDefault="00033477">
      <w:pPr>
        <w:pStyle w:val="NormalWeb"/>
        <w:ind w:left="480" w:hanging="480"/>
        <w:divId w:val="403793585"/>
        <w:rPr>
          <w:rFonts w:ascii="Garamond" w:hAnsi="Garamond" w:cs="Arial"/>
          <w:noProof/>
          <w:sz w:val="22"/>
          <w:szCs w:val="22"/>
          <w:lang w:val="es-MX"/>
        </w:rPr>
      </w:pPr>
      <w:r w:rsidRPr="005E7AA7">
        <w:rPr>
          <w:rFonts w:ascii="Garamond" w:hAnsi="Garamond" w:cs="Arial"/>
          <w:noProof/>
          <w:sz w:val="22"/>
          <w:szCs w:val="22"/>
          <w:lang w:val="es-MX"/>
        </w:rPr>
        <w:t>Instituto Nacional de Salud Pública. 2013. Encuesta Nacional de Salud y Nutrición 2012. Resultados por entidad federativa, Yucatán. Cuernavaca, México.</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lang w:val="es-MX"/>
        </w:rPr>
        <w:t xml:space="preserve">Jimenez-Cruz A, Bacardi-Gascon M, Pichardo-Osuna A, Mandujano-Trujillo Z, and Castillo-Ruiz O. 2010. </w:t>
      </w:r>
      <w:r w:rsidRPr="005E7AA7">
        <w:rPr>
          <w:rFonts w:ascii="Garamond" w:hAnsi="Garamond" w:cs="Arial"/>
          <w:noProof/>
          <w:sz w:val="22"/>
          <w:szCs w:val="22"/>
        </w:rPr>
        <w:t>Infant and toddlers’ feeding practices and obesity amongst low-income families in Mexico. Asia Pac. J. Clin. Nutr. 19:316–23.</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Kovic C. 2005. Mayan Voices for Human Rights: Displaced Catholics in Highland Chiapas. Austin: University of Texas Press.</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Kuisel RF. 1991. Coca-Cola and the Cold War_The French Face Americanization, 1948-1953.pdf. Fr. Hist. Stud. 17:96–116.</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Leatherman TL, and Goodman A. 2005. Coca-colonization of diets in the Yucatan. Soc. Sci. Med. 61:833–846.</w:t>
      </w:r>
    </w:p>
    <w:p w:rsidR="00033477" w:rsidRPr="005E7AA7" w:rsidRDefault="00033477">
      <w:pPr>
        <w:pStyle w:val="NormalWeb"/>
        <w:ind w:left="480" w:hanging="480"/>
        <w:divId w:val="403793585"/>
        <w:rPr>
          <w:rFonts w:ascii="Garamond" w:hAnsi="Garamond" w:cs="Arial"/>
          <w:noProof/>
          <w:sz w:val="22"/>
          <w:szCs w:val="22"/>
          <w:lang w:val="es-MX"/>
        </w:rPr>
      </w:pPr>
      <w:r w:rsidRPr="005E7AA7">
        <w:rPr>
          <w:rFonts w:ascii="Garamond" w:hAnsi="Garamond" w:cs="Arial"/>
          <w:noProof/>
          <w:sz w:val="22"/>
          <w:szCs w:val="22"/>
        </w:rPr>
        <w:t xml:space="preserve">Lind D, and Barham E. 2004. The social life of the tortilla: Food, cultural politics, and contested commodification. </w:t>
      </w:r>
      <w:r w:rsidRPr="005E7AA7">
        <w:rPr>
          <w:rFonts w:ascii="Garamond" w:hAnsi="Garamond" w:cs="Arial"/>
          <w:noProof/>
          <w:sz w:val="22"/>
          <w:szCs w:val="22"/>
          <w:lang w:val="es-MX"/>
        </w:rPr>
        <w:t>Agric. Human Values 21:47–60.</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lang w:val="es-MX"/>
        </w:rPr>
        <w:t xml:space="preserve">Lizama Quijano J. 2012. El perfil Maya de la blanca Mérida. </w:t>
      </w:r>
      <w:r w:rsidRPr="005E7AA7">
        <w:rPr>
          <w:rFonts w:ascii="Garamond" w:hAnsi="Garamond" w:cs="Arial"/>
          <w:noProof/>
          <w:sz w:val="22"/>
          <w:szCs w:val="22"/>
        </w:rPr>
        <w:t>Merida, MX.</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Lovell GW, and Lutz CH. 1996. “A Dark Obverse”: Maya Survival in Guatemala,: 1520-1994. Geogr. Rev. 86:398–407.</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Lovell WG. 2010. A Beauty That Hurts: Life and Death in Guatemala. 2nd editio. Austin: University of Texas Press.</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Madrigal Fritsch H, and Martínez Salgado H. 1996. Manual de encuestas de dieta. Mexico, D.F.: Instituto Nacional de Salud Pública.</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McNeil CL, Burney D a, and Burney LP. 2010. Evidence disputing deforestation as the cause for the collapse of the ancient Maya polity of Copan, Honduras. Proc. Natl. Acad. Sci. U. S. A. 107:1017–22.</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Metallinos-Katsaras E, Must A, and Gorman K. 2012. A longitudinal study of food insecurity on obesity in preschool children. J. Acad. Nutr. Diet. 112:1949–58.</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Mintz SW. 1985. Sweetness and Power. New York: Penguin Books.</w:t>
      </w:r>
    </w:p>
    <w:p w:rsidR="00033477" w:rsidRPr="005E7AA7" w:rsidRDefault="00033477">
      <w:pPr>
        <w:pStyle w:val="NormalWeb"/>
        <w:ind w:left="480" w:hanging="480"/>
        <w:divId w:val="403793585"/>
        <w:rPr>
          <w:rFonts w:ascii="Garamond" w:hAnsi="Garamond" w:cs="Arial"/>
          <w:noProof/>
          <w:sz w:val="22"/>
          <w:szCs w:val="22"/>
          <w:lang w:val="pt-PT"/>
        </w:rPr>
      </w:pPr>
      <w:r w:rsidRPr="005E7AA7">
        <w:rPr>
          <w:rFonts w:ascii="Garamond" w:hAnsi="Garamond" w:cs="Arial"/>
          <w:noProof/>
          <w:sz w:val="22"/>
          <w:szCs w:val="22"/>
        </w:rPr>
        <w:t xml:space="preserve">Popkin BM, Adair LS, and Ng SW. 2012. Global nutrition transition and the pandemic of obesity in developing countries. </w:t>
      </w:r>
      <w:r w:rsidRPr="005E7AA7">
        <w:rPr>
          <w:rFonts w:ascii="Garamond" w:hAnsi="Garamond" w:cs="Arial"/>
          <w:noProof/>
          <w:sz w:val="22"/>
          <w:szCs w:val="22"/>
          <w:lang w:val="pt-PT"/>
        </w:rPr>
        <w:t>Nutr. Rev. 70:3–21.</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lang w:val="pt-PT"/>
        </w:rPr>
        <w:t xml:space="preserve">Rodríguez-Ramírez S, Mundo-Rosas V, Jiménez-Aguilar A, and Shamah-Levy T. 2009. </w:t>
      </w:r>
      <w:r w:rsidRPr="005E7AA7">
        <w:rPr>
          <w:rFonts w:ascii="Garamond" w:hAnsi="Garamond" w:cs="Arial"/>
          <w:noProof/>
          <w:sz w:val="22"/>
          <w:szCs w:val="22"/>
        </w:rPr>
        <w:t>Methodology for the analysis of dietary data from the Mexican National Health and Nutrition Survey 2006. Salud Publica Mex. 51 Suppl 4:S523–9.</w:t>
      </w:r>
    </w:p>
    <w:p w:rsidR="00033477" w:rsidRPr="005E7AA7" w:rsidRDefault="00033477">
      <w:pPr>
        <w:pStyle w:val="NormalWeb"/>
        <w:ind w:left="480" w:hanging="480"/>
        <w:divId w:val="403793585"/>
        <w:rPr>
          <w:rFonts w:ascii="Garamond" w:hAnsi="Garamond" w:cs="Arial"/>
          <w:noProof/>
          <w:sz w:val="22"/>
          <w:szCs w:val="22"/>
          <w:lang w:val="pt-PT"/>
        </w:rPr>
      </w:pPr>
      <w:r w:rsidRPr="005E7AA7">
        <w:rPr>
          <w:rFonts w:ascii="Garamond" w:hAnsi="Garamond" w:cs="Arial"/>
          <w:noProof/>
          <w:sz w:val="22"/>
          <w:szCs w:val="22"/>
        </w:rPr>
        <w:t xml:space="preserve">Said-Mohamed R, Bernard JY, Ndzana A-C, and Pasquet P. 2012. Is overweight in stunted preschool children in Cameroon related to reductions in fat oxidation, resting energy expenditure and physical activity? </w:t>
      </w:r>
      <w:r w:rsidRPr="005E7AA7">
        <w:rPr>
          <w:rFonts w:ascii="Garamond" w:hAnsi="Garamond" w:cs="Arial"/>
          <w:noProof/>
          <w:sz w:val="22"/>
          <w:szCs w:val="22"/>
          <w:lang w:val="pt-PT"/>
        </w:rPr>
        <w:t>PLoS One 7:e39007.</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lang w:val="pt-PT"/>
        </w:rPr>
        <w:lastRenderedPageBreak/>
        <w:t xml:space="preserve">Sawaya AL, Martins PA, Baccin Martins VJ, Florêncio TT, Hoffman D, do Carmo P Franco M, and das Neves J. 2009. </w:t>
      </w:r>
      <w:r w:rsidRPr="005E7AA7">
        <w:rPr>
          <w:rFonts w:ascii="Garamond" w:hAnsi="Garamond" w:cs="Arial"/>
          <w:noProof/>
          <w:sz w:val="22"/>
          <w:szCs w:val="22"/>
        </w:rPr>
        <w:t>Malnutrition, long-term health and the effect of nutritional recovery. Nestle Nutr. Workshop Ser. Pediatr. Program. 63:95–108.</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Siniarska A, and Wolanski N. 1999. Living Conditions and Growth of Maya Indian and Non-Maya Boys from Yucatan in 1993 in Comparison with Other Studies. Int. J. Anthropol. 14:259–288.</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Smith PK, Bogin B, Varela-Silva MI, Orden B, and Loucky J. 2002. Does immigration help or harm childrens health? The Mayan case. Soc. Sci. Q. 83:994–1002.</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Tax S. 1953. Penny Capitalism: A Guatemalan Indian Economy. Washington, DC: Smithsonian Institution Press.</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lang w:val="pt-PT"/>
        </w:rPr>
        <w:t xml:space="preserve">Varela-Silva MI, Azcorra H, Dickinson F, Bogin B, and Frisancho a R. 2009. </w:t>
      </w:r>
      <w:r w:rsidRPr="005E7AA7">
        <w:rPr>
          <w:rFonts w:ascii="Garamond" w:hAnsi="Garamond" w:cs="Arial"/>
          <w:noProof/>
          <w:sz w:val="22"/>
          <w:szCs w:val="22"/>
        </w:rPr>
        <w:t>Influence of maternal stature, pregnancy age, and infant birth weight on growth during childhood in Yucatan, Mexico: a test of the intergenerational effects hypothesis. Am. J. Hum. Biol. 21:657–63.</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Varela-Silva MI, Dickinson F, Wilson H, Azcorra H, Griffiths PL, and Bogin B. 2012. The nutritional dual-burden in developing countries--how is it assessed and what are the health implications? Coll. Antropol. 36:39–45.</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Varela-Silva MI, Frisancho AR, Bogin B, Chatkoff D, Smith PK, Dickinson F, and Winham D. 2007. Behavioral, environmental, metabolic and intergenerational components of early life undernutrition leading to later obesity in developing nations and in minority groups in the U.S.A. Coll. Antropol. 31:39–46.</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Verza M. 2013. The “Coca-Colization” of Mexico, the Spark of Obesity. periodismohumano [Internet]. Available from: http://english.periodismohumano.com/2013/03/05/the-coca-colization-of-mexico-the-spark-of-obesity/</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Wilson H, Dickinson F, Griffiths P, Bogin B, and Varela-Silva MI. 2011. Logistics of using the Actiheart physical activity monitors in urban Mexico among 7- to 9-year-old children. Am. J. Hum. Biol. 23:426–8.</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Wilson HJ, Dickinson F, Griffiths PL, Bogin B, Hobbs M, and Varela-Silva MI. 2013. Maternal short stature does not predict their children’s fatness indicators in a nutritional dual-burden sample of urban Mexican Maya. Am. J. Phys. Anthropol. 00.</w:t>
      </w:r>
    </w:p>
    <w:p w:rsidR="00033477" w:rsidRPr="005E7AA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Wilson HJ, Dickinson F, Hoffman DJ, Griffiths PL, Bogin B, and Varela-Silva MI. 2012. Fat free mass explains the relationship between stunting and energy expenditure in urban Mexican Maya children. Ann. Hum. Biol. 39:432–9.</w:t>
      </w:r>
    </w:p>
    <w:p w:rsidR="00033477" w:rsidRDefault="00033477">
      <w:pPr>
        <w:pStyle w:val="NormalWeb"/>
        <w:ind w:left="480" w:hanging="480"/>
        <w:divId w:val="403793585"/>
        <w:rPr>
          <w:rFonts w:ascii="Garamond" w:hAnsi="Garamond" w:cs="Arial"/>
          <w:noProof/>
          <w:sz w:val="22"/>
          <w:szCs w:val="22"/>
        </w:rPr>
      </w:pPr>
      <w:r w:rsidRPr="005E7AA7">
        <w:rPr>
          <w:rFonts w:ascii="Garamond" w:hAnsi="Garamond" w:cs="Arial"/>
          <w:noProof/>
          <w:sz w:val="22"/>
          <w:szCs w:val="22"/>
        </w:rPr>
        <w:t>Wolanski N, Dickinson F, and Siniarska A. 1993. Biological traits and living conditions of Maya Indian and non Maya girls from Merida, Mexico. Int. J. Anthropol. 8:233–246.</w:t>
      </w:r>
    </w:p>
    <w:p w:rsidR="005E7AA7" w:rsidRDefault="005E7AA7">
      <w:pPr>
        <w:pStyle w:val="NormalWeb"/>
        <w:ind w:left="480" w:hanging="480"/>
        <w:divId w:val="403793585"/>
        <w:rPr>
          <w:rFonts w:ascii="Garamond" w:hAnsi="Garamond" w:cs="Arial"/>
          <w:noProof/>
          <w:sz w:val="22"/>
          <w:szCs w:val="22"/>
        </w:rPr>
      </w:pPr>
    </w:p>
    <w:p w:rsidR="005E7AA7" w:rsidRPr="005E7AA7" w:rsidRDefault="005E7AA7">
      <w:pPr>
        <w:pStyle w:val="NormalWeb"/>
        <w:ind w:left="480" w:hanging="480"/>
        <w:divId w:val="403793585"/>
        <w:rPr>
          <w:rFonts w:ascii="Garamond" w:hAnsi="Garamond" w:cs="Arial"/>
          <w:noProof/>
          <w:sz w:val="22"/>
          <w:szCs w:val="22"/>
        </w:rPr>
      </w:pPr>
      <w:r>
        <w:rPr>
          <w:rFonts w:ascii="Garamond" w:hAnsi="Garamond" w:cs="Arial"/>
          <w:noProof/>
          <w:sz w:val="22"/>
          <w:szCs w:val="22"/>
        </w:rPr>
        <w:t xml:space="preserve">                                                                                     © Professor Barry Bogin and Dr Ines Varela-Silva</w:t>
      </w:r>
    </w:p>
    <w:p w:rsidR="00355004" w:rsidRPr="00C54391" w:rsidRDefault="00567CCA" w:rsidP="00033477">
      <w:pPr>
        <w:pStyle w:val="NormalWeb"/>
        <w:ind w:left="480" w:hanging="480"/>
        <w:divId w:val="2141267590"/>
        <w:rPr>
          <w:lang w:val="en-US"/>
        </w:rPr>
      </w:pPr>
      <w:r w:rsidRPr="005E7AA7">
        <w:rPr>
          <w:rFonts w:ascii="Garamond" w:hAnsi="Garamond"/>
          <w:sz w:val="22"/>
          <w:szCs w:val="22"/>
          <w:lang w:val="en-US"/>
        </w:rPr>
        <w:fldChar w:fldCharType="end"/>
      </w:r>
    </w:p>
    <w:p w:rsidR="00C54391" w:rsidRPr="00F81E14" w:rsidRDefault="00C54391">
      <w:pPr>
        <w:pStyle w:val="NormalWeb"/>
      </w:pPr>
    </w:p>
    <w:sectPr w:rsidR="00C54391" w:rsidRPr="00F81E14">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266" w:rsidRDefault="009F2266" w:rsidP="00C870EA">
      <w:pPr>
        <w:spacing w:after="0" w:line="240" w:lineRule="auto"/>
      </w:pPr>
      <w:r>
        <w:separator/>
      </w:r>
    </w:p>
  </w:endnote>
  <w:endnote w:type="continuationSeparator" w:id="0">
    <w:p w:rsidR="009F2266" w:rsidRDefault="009F2266" w:rsidP="00C8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Palatino">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467125"/>
      <w:docPartObj>
        <w:docPartGallery w:val="Page Numbers (Bottom of Page)"/>
        <w:docPartUnique/>
      </w:docPartObj>
    </w:sdtPr>
    <w:sdtEndPr>
      <w:rPr>
        <w:noProof/>
      </w:rPr>
    </w:sdtEndPr>
    <w:sdtContent>
      <w:p w:rsidR="007A38DD" w:rsidRDefault="007A38DD">
        <w:pPr>
          <w:pStyle w:val="Footer"/>
          <w:jc w:val="right"/>
        </w:pPr>
        <w:r>
          <w:fldChar w:fldCharType="begin"/>
        </w:r>
        <w:r>
          <w:instrText xml:space="preserve"> PAGE   \* MERGEFORMAT </w:instrText>
        </w:r>
        <w:r>
          <w:fldChar w:fldCharType="separate"/>
        </w:r>
        <w:r w:rsidR="00A71A68">
          <w:rPr>
            <w:noProof/>
          </w:rPr>
          <w:t>1</w:t>
        </w:r>
        <w:r>
          <w:rPr>
            <w:noProof/>
          </w:rPr>
          <w:fldChar w:fldCharType="end"/>
        </w:r>
      </w:p>
    </w:sdtContent>
  </w:sdt>
  <w:p w:rsidR="007A38DD" w:rsidRDefault="007A3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266" w:rsidRDefault="009F2266" w:rsidP="00C870EA">
      <w:pPr>
        <w:spacing w:after="0" w:line="240" w:lineRule="auto"/>
      </w:pPr>
      <w:r>
        <w:separator/>
      </w:r>
    </w:p>
  </w:footnote>
  <w:footnote w:type="continuationSeparator" w:id="0">
    <w:p w:rsidR="009F2266" w:rsidRDefault="009F2266" w:rsidP="00C87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84657"/>
    <w:multiLevelType w:val="hybridMultilevel"/>
    <w:tmpl w:val="099C2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8137576"/>
    <w:multiLevelType w:val="hybridMultilevel"/>
    <w:tmpl w:val="C6960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AB0F4D"/>
    <w:multiLevelType w:val="hybridMultilevel"/>
    <w:tmpl w:val="C3FAD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57"/>
    <w:rsid w:val="000166A1"/>
    <w:rsid w:val="00023153"/>
    <w:rsid w:val="000240F4"/>
    <w:rsid w:val="00026AC9"/>
    <w:rsid w:val="00030D29"/>
    <w:rsid w:val="00033477"/>
    <w:rsid w:val="00035B42"/>
    <w:rsid w:val="00036FEA"/>
    <w:rsid w:val="000425F1"/>
    <w:rsid w:val="00050E53"/>
    <w:rsid w:val="00053CC0"/>
    <w:rsid w:val="000618D5"/>
    <w:rsid w:val="00064D4B"/>
    <w:rsid w:val="00067D4F"/>
    <w:rsid w:val="0007499E"/>
    <w:rsid w:val="00081E63"/>
    <w:rsid w:val="00092D45"/>
    <w:rsid w:val="000A066E"/>
    <w:rsid w:val="000A2CD6"/>
    <w:rsid w:val="000B5C6D"/>
    <w:rsid w:val="000B6413"/>
    <w:rsid w:val="000C373B"/>
    <w:rsid w:val="000F2D6C"/>
    <w:rsid w:val="000F3729"/>
    <w:rsid w:val="000F410E"/>
    <w:rsid w:val="000F5D5A"/>
    <w:rsid w:val="00105AB8"/>
    <w:rsid w:val="00112D13"/>
    <w:rsid w:val="00115296"/>
    <w:rsid w:val="001153CD"/>
    <w:rsid w:val="00121264"/>
    <w:rsid w:val="00122F2B"/>
    <w:rsid w:val="00126AAE"/>
    <w:rsid w:val="00136B71"/>
    <w:rsid w:val="00137145"/>
    <w:rsid w:val="00140E46"/>
    <w:rsid w:val="001413A7"/>
    <w:rsid w:val="00147555"/>
    <w:rsid w:val="001566B7"/>
    <w:rsid w:val="00157FE8"/>
    <w:rsid w:val="0016122F"/>
    <w:rsid w:val="001670D3"/>
    <w:rsid w:val="00170795"/>
    <w:rsid w:val="0018059B"/>
    <w:rsid w:val="001857DD"/>
    <w:rsid w:val="00187F7B"/>
    <w:rsid w:val="00190465"/>
    <w:rsid w:val="00191087"/>
    <w:rsid w:val="00193DA6"/>
    <w:rsid w:val="001B3F73"/>
    <w:rsid w:val="001B7C6C"/>
    <w:rsid w:val="001D3D97"/>
    <w:rsid w:val="001D7043"/>
    <w:rsid w:val="001E25A0"/>
    <w:rsid w:val="001E3FEE"/>
    <w:rsid w:val="001E6F72"/>
    <w:rsid w:val="001F212E"/>
    <w:rsid w:val="001F443F"/>
    <w:rsid w:val="00203DB4"/>
    <w:rsid w:val="00205D98"/>
    <w:rsid w:val="0020678E"/>
    <w:rsid w:val="00216CB9"/>
    <w:rsid w:val="00222808"/>
    <w:rsid w:val="002308FE"/>
    <w:rsid w:val="00230B39"/>
    <w:rsid w:val="00232F86"/>
    <w:rsid w:val="0024060F"/>
    <w:rsid w:val="00260172"/>
    <w:rsid w:val="00261ABB"/>
    <w:rsid w:val="00275617"/>
    <w:rsid w:val="002760F0"/>
    <w:rsid w:val="0028056F"/>
    <w:rsid w:val="002821D2"/>
    <w:rsid w:val="002833DD"/>
    <w:rsid w:val="002A566B"/>
    <w:rsid w:val="002A6384"/>
    <w:rsid w:val="002B4DC9"/>
    <w:rsid w:val="002C5FE5"/>
    <w:rsid w:val="002E20FD"/>
    <w:rsid w:val="002F38E4"/>
    <w:rsid w:val="00310FBF"/>
    <w:rsid w:val="0031443C"/>
    <w:rsid w:val="00324035"/>
    <w:rsid w:val="003379E8"/>
    <w:rsid w:val="00355004"/>
    <w:rsid w:val="003631DD"/>
    <w:rsid w:val="00367B10"/>
    <w:rsid w:val="00370958"/>
    <w:rsid w:val="00387696"/>
    <w:rsid w:val="003930B4"/>
    <w:rsid w:val="003A6264"/>
    <w:rsid w:val="003C103F"/>
    <w:rsid w:val="003C7CE6"/>
    <w:rsid w:val="003D23CB"/>
    <w:rsid w:val="003D4138"/>
    <w:rsid w:val="003D655C"/>
    <w:rsid w:val="003D6CA7"/>
    <w:rsid w:val="003E568A"/>
    <w:rsid w:val="003F18ED"/>
    <w:rsid w:val="003F1D80"/>
    <w:rsid w:val="003F255F"/>
    <w:rsid w:val="003F5FCC"/>
    <w:rsid w:val="004015D2"/>
    <w:rsid w:val="00402A8B"/>
    <w:rsid w:val="0042039C"/>
    <w:rsid w:val="004211FE"/>
    <w:rsid w:val="00423714"/>
    <w:rsid w:val="004277DE"/>
    <w:rsid w:val="00433313"/>
    <w:rsid w:val="004379E8"/>
    <w:rsid w:val="0044050E"/>
    <w:rsid w:val="00444A7E"/>
    <w:rsid w:val="004512DD"/>
    <w:rsid w:val="00455648"/>
    <w:rsid w:val="004565B1"/>
    <w:rsid w:val="004603A8"/>
    <w:rsid w:val="004648CF"/>
    <w:rsid w:val="00472251"/>
    <w:rsid w:val="00473EFB"/>
    <w:rsid w:val="00476B14"/>
    <w:rsid w:val="00477C6C"/>
    <w:rsid w:val="004800FE"/>
    <w:rsid w:val="004902B7"/>
    <w:rsid w:val="00495399"/>
    <w:rsid w:val="004A18BF"/>
    <w:rsid w:val="004C0C15"/>
    <w:rsid w:val="004C1FF7"/>
    <w:rsid w:val="004C4F28"/>
    <w:rsid w:val="004C53C3"/>
    <w:rsid w:val="004C6331"/>
    <w:rsid w:val="004F01C5"/>
    <w:rsid w:val="004F2A00"/>
    <w:rsid w:val="00510DD3"/>
    <w:rsid w:val="005177B8"/>
    <w:rsid w:val="0053067C"/>
    <w:rsid w:val="00531A6A"/>
    <w:rsid w:val="00532BE0"/>
    <w:rsid w:val="00551B6F"/>
    <w:rsid w:val="005577FD"/>
    <w:rsid w:val="00567CCA"/>
    <w:rsid w:val="0058762D"/>
    <w:rsid w:val="005964E8"/>
    <w:rsid w:val="005A5349"/>
    <w:rsid w:val="005B0A5A"/>
    <w:rsid w:val="005B1D4E"/>
    <w:rsid w:val="005C3D65"/>
    <w:rsid w:val="005D2039"/>
    <w:rsid w:val="005D2BBB"/>
    <w:rsid w:val="005D5B4E"/>
    <w:rsid w:val="005D63A9"/>
    <w:rsid w:val="005E50AB"/>
    <w:rsid w:val="005E636B"/>
    <w:rsid w:val="005E6772"/>
    <w:rsid w:val="005E6B1D"/>
    <w:rsid w:val="005E7AA7"/>
    <w:rsid w:val="005F2143"/>
    <w:rsid w:val="006008DC"/>
    <w:rsid w:val="00603A77"/>
    <w:rsid w:val="00607DA7"/>
    <w:rsid w:val="0061660B"/>
    <w:rsid w:val="0062105C"/>
    <w:rsid w:val="00631BE6"/>
    <w:rsid w:val="00632D21"/>
    <w:rsid w:val="0063568A"/>
    <w:rsid w:val="00637D2B"/>
    <w:rsid w:val="006451FD"/>
    <w:rsid w:val="006476A8"/>
    <w:rsid w:val="0065224E"/>
    <w:rsid w:val="00661F68"/>
    <w:rsid w:val="006759B8"/>
    <w:rsid w:val="00687B64"/>
    <w:rsid w:val="006A3BA7"/>
    <w:rsid w:val="006A79DD"/>
    <w:rsid w:val="006B3943"/>
    <w:rsid w:val="006B43ED"/>
    <w:rsid w:val="006B500D"/>
    <w:rsid w:val="006C3886"/>
    <w:rsid w:val="006E3DAD"/>
    <w:rsid w:val="006E5022"/>
    <w:rsid w:val="006E7CE6"/>
    <w:rsid w:val="006F1CEF"/>
    <w:rsid w:val="006F497F"/>
    <w:rsid w:val="00702AF5"/>
    <w:rsid w:val="007040A3"/>
    <w:rsid w:val="00711E95"/>
    <w:rsid w:val="00720372"/>
    <w:rsid w:val="007214E7"/>
    <w:rsid w:val="007221E2"/>
    <w:rsid w:val="0072269A"/>
    <w:rsid w:val="00752109"/>
    <w:rsid w:val="00752EA6"/>
    <w:rsid w:val="00752FD8"/>
    <w:rsid w:val="0075468B"/>
    <w:rsid w:val="007614C8"/>
    <w:rsid w:val="00764587"/>
    <w:rsid w:val="007646E3"/>
    <w:rsid w:val="007839A8"/>
    <w:rsid w:val="00791C0E"/>
    <w:rsid w:val="007A23FC"/>
    <w:rsid w:val="007A38DD"/>
    <w:rsid w:val="007B0160"/>
    <w:rsid w:val="007B6AE8"/>
    <w:rsid w:val="007C094F"/>
    <w:rsid w:val="007D614A"/>
    <w:rsid w:val="007E0036"/>
    <w:rsid w:val="007E14E0"/>
    <w:rsid w:val="007F33B0"/>
    <w:rsid w:val="007F3E2B"/>
    <w:rsid w:val="007F7091"/>
    <w:rsid w:val="00800944"/>
    <w:rsid w:val="00805868"/>
    <w:rsid w:val="00806125"/>
    <w:rsid w:val="0081175F"/>
    <w:rsid w:val="008208F5"/>
    <w:rsid w:val="00827562"/>
    <w:rsid w:val="00834114"/>
    <w:rsid w:val="0085288C"/>
    <w:rsid w:val="00852B4E"/>
    <w:rsid w:val="008566DD"/>
    <w:rsid w:val="00860340"/>
    <w:rsid w:val="008613CE"/>
    <w:rsid w:val="0086243D"/>
    <w:rsid w:val="00862555"/>
    <w:rsid w:val="008804C8"/>
    <w:rsid w:val="00880A03"/>
    <w:rsid w:val="00884422"/>
    <w:rsid w:val="00892619"/>
    <w:rsid w:val="008A13B3"/>
    <w:rsid w:val="008B3262"/>
    <w:rsid w:val="008C3748"/>
    <w:rsid w:val="008C70BE"/>
    <w:rsid w:val="008D02BD"/>
    <w:rsid w:val="008D0CDC"/>
    <w:rsid w:val="008D12D4"/>
    <w:rsid w:val="008D1716"/>
    <w:rsid w:val="008D2C40"/>
    <w:rsid w:val="008D50D0"/>
    <w:rsid w:val="008E1D69"/>
    <w:rsid w:val="008E6D83"/>
    <w:rsid w:val="00911F39"/>
    <w:rsid w:val="00923D18"/>
    <w:rsid w:val="009268D0"/>
    <w:rsid w:val="0094533D"/>
    <w:rsid w:val="00957103"/>
    <w:rsid w:val="00963F94"/>
    <w:rsid w:val="009667BE"/>
    <w:rsid w:val="0097243E"/>
    <w:rsid w:val="00972C3D"/>
    <w:rsid w:val="00974257"/>
    <w:rsid w:val="00975121"/>
    <w:rsid w:val="00985234"/>
    <w:rsid w:val="009914F1"/>
    <w:rsid w:val="00997E1F"/>
    <w:rsid w:val="009A28A7"/>
    <w:rsid w:val="009A305F"/>
    <w:rsid w:val="009A4312"/>
    <w:rsid w:val="009A4E62"/>
    <w:rsid w:val="009B4930"/>
    <w:rsid w:val="009C49C0"/>
    <w:rsid w:val="009C62EE"/>
    <w:rsid w:val="009E01B9"/>
    <w:rsid w:val="009E1E91"/>
    <w:rsid w:val="009E6EEA"/>
    <w:rsid w:val="009F2266"/>
    <w:rsid w:val="00A01E40"/>
    <w:rsid w:val="00A147B6"/>
    <w:rsid w:val="00A21306"/>
    <w:rsid w:val="00A27236"/>
    <w:rsid w:val="00A30853"/>
    <w:rsid w:val="00A34AD9"/>
    <w:rsid w:val="00A5357C"/>
    <w:rsid w:val="00A57480"/>
    <w:rsid w:val="00A62201"/>
    <w:rsid w:val="00A636F0"/>
    <w:rsid w:val="00A6580A"/>
    <w:rsid w:val="00A701E4"/>
    <w:rsid w:val="00A71A68"/>
    <w:rsid w:val="00A84A77"/>
    <w:rsid w:val="00A85F87"/>
    <w:rsid w:val="00AA1DFF"/>
    <w:rsid w:val="00AA5232"/>
    <w:rsid w:val="00AA5739"/>
    <w:rsid w:val="00AB12ED"/>
    <w:rsid w:val="00AC061A"/>
    <w:rsid w:val="00AC790B"/>
    <w:rsid w:val="00AD2863"/>
    <w:rsid w:val="00AE1388"/>
    <w:rsid w:val="00AF3A1E"/>
    <w:rsid w:val="00AF6912"/>
    <w:rsid w:val="00B14F3C"/>
    <w:rsid w:val="00B209D3"/>
    <w:rsid w:val="00B23136"/>
    <w:rsid w:val="00B34CDA"/>
    <w:rsid w:val="00B371E7"/>
    <w:rsid w:val="00B41465"/>
    <w:rsid w:val="00B5616F"/>
    <w:rsid w:val="00B61A92"/>
    <w:rsid w:val="00B8011F"/>
    <w:rsid w:val="00B856A5"/>
    <w:rsid w:val="00B85DD5"/>
    <w:rsid w:val="00B86957"/>
    <w:rsid w:val="00B91E31"/>
    <w:rsid w:val="00B95B7A"/>
    <w:rsid w:val="00BA1D7A"/>
    <w:rsid w:val="00BA77D8"/>
    <w:rsid w:val="00BB367A"/>
    <w:rsid w:val="00BC5D80"/>
    <w:rsid w:val="00BD4D11"/>
    <w:rsid w:val="00BD7949"/>
    <w:rsid w:val="00BD7D1E"/>
    <w:rsid w:val="00BF498F"/>
    <w:rsid w:val="00C02BD8"/>
    <w:rsid w:val="00C03F37"/>
    <w:rsid w:val="00C11752"/>
    <w:rsid w:val="00C144B7"/>
    <w:rsid w:val="00C2560D"/>
    <w:rsid w:val="00C33678"/>
    <w:rsid w:val="00C5438A"/>
    <w:rsid w:val="00C54391"/>
    <w:rsid w:val="00C61A77"/>
    <w:rsid w:val="00C61C5C"/>
    <w:rsid w:val="00C64117"/>
    <w:rsid w:val="00C64E1A"/>
    <w:rsid w:val="00C72CCF"/>
    <w:rsid w:val="00C8674C"/>
    <w:rsid w:val="00C870EA"/>
    <w:rsid w:val="00C97123"/>
    <w:rsid w:val="00C97129"/>
    <w:rsid w:val="00CA0013"/>
    <w:rsid w:val="00CA2BD0"/>
    <w:rsid w:val="00CA6AD6"/>
    <w:rsid w:val="00CB2C8D"/>
    <w:rsid w:val="00CB418A"/>
    <w:rsid w:val="00CB6F0B"/>
    <w:rsid w:val="00CB7587"/>
    <w:rsid w:val="00CC0600"/>
    <w:rsid w:val="00CC084C"/>
    <w:rsid w:val="00CD0681"/>
    <w:rsid w:val="00CD1FC5"/>
    <w:rsid w:val="00CD30A2"/>
    <w:rsid w:val="00CD4575"/>
    <w:rsid w:val="00CD628A"/>
    <w:rsid w:val="00CE1957"/>
    <w:rsid w:val="00CE656F"/>
    <w:rsid w:val="00CE7832"/>
    <w:rsid w:val="00D06004"/>
    <w:rsid w:val="00D11631"/>
    <w:rsid w:val="00D21204"/>
    <w:rsid w:val="00D2161F"/>
    <w:rsid w:val="00D230E4"/>
    <w:rsid w:val="00D242FD"/>
    <w:rsid w:val="00D261D9"/>
    <w:rsid w:val="00D504B1"/>
    <w:rsid w:val="00D52BC6"/>
    <w:rsid w:val="00D55B9D"/>
    <w:rsid w:val="00D6041D"/>
    <w:rsid w:val="00D6103E"/>
    <w:rsid w:val="00D62A8E"/>
    <w:rsid w:val="00D73656"/>
    <w:rsid w:val="00D80B96"/>
    <w:rsid w:val="00D8347E"/>
    <w:rsid w:val="00D84C85"/>
    <w:rsid w:val="00D85AC2"/>
    <w:rsid w:val="00D90502"/>
    <w:rsid w:val="00D918B7"/>
    <w:rsid w:val="00D95D86"/>
    <w:rsid w:val="00DA6340"/>
    <w:rsid w:val="00DA7C31"/>
    <w:rsid w:val="00DB1503"/>
    <w:rsid w:val="00DB3AC9"/>
    <w:rsid w:val="00DB401F"/>
    <w:rsid w:val="00DB7EAB"/>
    <w:rsid w:val="00DC3AB6"/>
    <w:rsid w:val="00DC3E06"/>
    <w:rsid w:val="00DD034B"/>
    <w:rsid w:val="00DD10E9"/>
    <w:rsid w:val="00DD318C"/>
    <w:rsid w:val="00DD504A"/>
    <w:rsid w:val="00DD61CF"/>
    <w:rsid w:val="00DD7476"/>
    <w:rsid w:val="00DE29E2"/>
    <w:rsid w:val="00DE3A81"/>
    <w:rsid w:val="00DE64CF"/>
    <w:rsid w:val="00DF1F4A"/>
    <w:rsid w:val="00DF5EB8"/>
    <w:rsid w:val="00E073D0"/>
    <w:rsid w:val="00E1331B"/>
    <w:rsid w:val="00E13FE4"/>
    <w:rsid w:val="00E25A46"/>
    <w:rsid w:val="00E25BD0"/>
    <w:rsid w:val="00E37457"/>
    <w:rsid w:val="00E531E7"/>
    <w:rsid w:val="00E54F71"/>
    <w:rsid w:val="00E55DC3"/>
    <w:rsid w:val="00E6272D"/>
    <w:rsid w:val="00E64046"/>
    <w:rsid w:val="00E64BC3"/>
    <w:rsid w:val="00E7424F"/>
    <w:rsid w:val="00E835D5"/>
    <w:rsid w:val="00EA04DB"/>
    <w:rsid w:val="00EA65E6"/>
    <w:rsid w:val="00EB2F8A"/>
    <w:rsid w:val="00EB6FAC"/>
    <w:rsid w:val="00EC474A"/>
    <w:rsid w:val="00EC7F3F"/>
    <w:rsid w:val="00EF055F"/>
    <w:rsid w:val="00EF1A96"/>
    <w:rsid w:val="00F0136B"/>
    <w:rsid w:val="00F02034"/>
    <w:rsid w:val="00F04820"/>
    <w:rsid w:val="00F12CFD"/>
    <w:rsid w:val="00F135AF"/>
    <w:rsid w:val="00F16A0C"/>
    <w:rsid w:val="00F22750"/>
    <w:rsid w:val="00F32644"/>
    <w:rsid w:val="00F33864"/>
    <w:rsid w:val="00F43626"/>
    <w:rsid w:val="00F6547C"/>
    <w:rsid w:val="00F72489"/>
    <w:rsid w:val="00F80CFB"/>
    <w:rsid w:val="00F81892"/>
    <w:rsid w:val="00F81E14"/>
    <w:rsid w:val="00F8256D"/>
    <w:rsid w:val="00F85155"/>
    <w:rsid w:val="00F869F3"/>
    <w:rsid w:val="00F9046C"/>
    <w:rsid w:val="00F93126"/>
    <w:rsid w:val="00FA7E76"/>
    <w:rsid w:val="00FB105F"/>
    <w:rsid w:val="00FB3B38"/>
    <w:rsid w:val="00FB3D45"/>
    <w:rsid w:val="00FB6382"/>
    <w:rsid w:val="00FD02B2"/>
    <w:rsid w:val="00FD179C"/>
    <w:rsid w:val="00FD5FC1"/>
    <w:rsid w:val="00FD6A9E"/>
    <w:rsid w:val="00FD7B61"/>
    <w:rsid w:val="00FF46D8"/>
    <w:rsid w:val="00FF5FD4"/>
    <w:rsid w:val="00FF61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EF"/>
    <w:rPr>
      <w:rFonts w:ascii="Arial" w:hAnsi="Arial" w:cs="Arial"/>
      <w:sz w:val="24"/>
      <w:szCs w:val="24"/>
    </w:rPr>
  </w:style>
  <w:style w:type="paragraph" w:styleId="Heading1">
    <w:name w:val="heading 1"/>
    <w:basedOn w:val="Normal"/>
    <w:next w:val="Normal"/>
    <w:link w:val="Heading1Char"/>
    <w:qFormat/>
    <w:rsid w:val="005E7AA7"/>
    <w:pPr>
      <w:keepNext/>
      <w:keepLines/>
      <w:spacing w:before="120" w:after="0" w:line="240" w:lineRule="auto"/>
      <w:outlineLvl w:val="0"/>
    </w:pPr>
    <w:rPr>
      <w:rFonts w:ascii="Maiandra GD" w:eastAsia="Times New Roman" w:hAnsi="Maiandra GD" w:cs="Times New Roman"/>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457"/>
    <w:rPr>
      <w:color w:val="0000FF" w:themeColor="hyperlink"/>
      <w:u w:val="single"/>
    </w:rPr>
  </w:style>
  <w:style w:type="paragraph" w:styleId="NormalWeb">
    <w:name w:val="Normal (Web)"/>
    <w:basedOn w:val="Normal"/>
    <w:uiPriority w:val="99"/>
    <w:unhideWhenUsed/>
    <w:rsid w:val="00402A8B"/>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166A1"/>
    <w:rPr>
      <w:color w:val="800080" w:themeColor="followedHyperlink"/>
      <w:u w:val="single"/>
    </w:rPr>
  </w:style>
  <w:style w:type="paragraph" w:styleId="Header">
    <w:name w:val="header"/>
    <w:basedOn w:val="Normal"/>
    <w:link w:val="HeaderChar"/>
    <w:uiPriority w:val="99"/>
    <w:unhideWhenUsed/>
    <w:rsid w:val="00C87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0EA"/>
    <w:rPr>
      <w:rFonts w:ascii="Arial" w:hAnsi="Arial" w:cs="Arial"/>
      <w:sz w:val="24"/>
      <w:szCs w:val="24"/>
    </w:rPr>
  </w:style>
  <w:style w:type="paragraph" w:styleId="Footer">
    <w:name w:val="footer"/>
    <w:basedOn w:val="Normal"/>
    <w:link w:val="FooterChar"/>
    <w:uiPriority w:val="99"/>
    <w:unhideWhenUsed/>
    <w:rsid w:val="00C87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0EA"/>
    <w:rPr>
      <w:rFonts w:ascii="Arial" w:hAnsi="Arial" w:cs="Arial"/>
      <w:sz w:val="24"/>
      <w:szCs w:val="24"/>
    </w:rPr>
  </w:style>
  <w:style w:type="paragraph" w:styleId="BalloonText">
    <w:name w:val="Balloon Text"/>
    <w:basedOn w:val="Normal"/>
    <w:link w:val="BalloonTextChar"/>
    <w:uiPriority w:val="99"/>
    <w:semiHidden/>
    <w:unhideWhenUsed/>
    <w:rsid w:val="00820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8F5"/>
    <w:rPr>
      <w:rFonts w:ascii="Tahoma" w:hAnsi="Tahoma" w:cs="Tahoma"/>
      <w:sz w:val="16"/>
      <w:szCs w:val="16"/>
    </w:rPr>
  </w:style>
  <w:style w:type="paragraph" w:styleId="ListParagraph">
    <w:name w:val="List Paragraph"/>
    <w:basedOn w:val="Normal"/>
    <w:uiPriority w:val="34"/>
    <w:qFormat/>
    <w:rsid w:val="00752109"/>
    <w:pPr>
      <w:ind w:left="720"/>
      <w:contextualSpacing/>
    </w:pPr>
  </w:style>
  <w:style w:type="character" w:styleId="CommentReference">
    <w:name w:val="annotation reference"/>
    <w:basedOn w:val="DefaultParagraphFont"/>
    <w:uiPriority w:val="99"/>
    <w:semiHidden/>
    <w:unhideWhenUsed/>
    <w:rsid w:val="00E54F71"/>
    <w:rPr>
      <w:sz w:val="16"/>
      <w:szCs w:val="16"/>
    </w:rPr>
  </w:style>
  <w:style w:type="paragraph" w:styleId="CommentText">
    <w:name w:val="annotation text"/>
    <w:basedOn w:val="Normal"/>
    <w:link w:val="CommentTextChar"/>
    <w:uiPriority w:val="99"/>
    <w:unhideWhenUsed/>
    <w:rsid w:val="00E54F71"/>
    <w:pPr>
      <w:spacing w:line="240" w:lineRule="auto"/>
    </w:pPr>
    <w:rPr>
      <w:sz w:val="20"/>
      <w:szCs w:val="20"/>
    </w:rPr>
  </w:style>
  <w:style w:type="character" w:customStyle="1" w:styleId="CommentTextChar">
    <w:name w:val="Comment Text Char"/>
    <w:basedOn w:val="DefaultParagraphFont"/>
    <w:link w:val="CommentText"/>
    <w:uiPriority w:val="99"/>
    <w:rsid w:val="00E54F7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54F71"/>
    <w:rPr>
      <w:b/>
      <w:bCs/>
    </w:rPr>
  </w:style>
  <w:style w:type="character" w:customStyle="1" w:styleId="CommentSubjectChar">
    <w:name w:val="Comment Subject Char"/>
    <w:basedOn w:val="CommentTextChar"/>
    <w:link w:val="CommentSubject"/>
    <w:uiPriority w:val="99"/>
    <w:semiHidden/>
    <w:rsid w:val="00E54F71"/>
    <w:rPr>
      <w:rFonts w:ascii="Arial" w:hAnsi="Arial" w:cs="Arial"/>
      <w:b/>
      <w:bCs/>
      <w:sz w:val="20"/>
      <w:szCs w:val="20"/>
    </w:rPr>
  </w:style>
  <w:style w:type="character" w:customStyle="1" w:styleId="apple-converted-space">
    <w:name w:val="apple-converted-space"/>
    <w:basedOn w:val="DefaultParagraphFont"/>
    <w:rsid w:val="00D21204"/>
  </w:style>
  <w:style w:type="table" w:styleId="TableGrid">
    <w:name w:val="Table Grid"/>
    <w:basedOn w:val="TableNormal"/>
    <w:uiPriority w:val="59"/>
    <w:rsid w:val="005E6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153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3CD"/>
    <w:rPr>
      <w:rFonts w:ascii="Arial" w:hAnsi="Arial" w:cs="Arial"/>
      <w:sz w:val="20"/>
      <w:szCs w:val="20"/>
    </w:rPr>
  </w:style>
  <w:style w:type="character" w:styleId="FootnoteReference">
    <w:name w:val="footnote reference"/>
    <w:basedOn w:val="DefaultParagraphFont"/>
    <w:uiPriority w:val="99"/>
    <w:semiHidden/>
    <w:unhideWhenUsed/>
    <w:rsid w:val="001153CD"/>
    <w:rPr>
      <w:vertAlign w:val="superscript"/>
    </w:rPr>
  </w:style>
  <w:style w:type="character" w:customStyle="1" w:styleId="Heading1Char">
    <w:name w:val="Heading 1 Char"/>
    <w:basedOn w:val="DefaultParagraphFont"/>
    <w:link w:val="Heading1"/>
    <w:rsid w:val="005E7AA7"/>
    <w:rPr>
      <w:rFonts w:ascii="Maiandra GD" w:eastAsia="Times New Roman" w:hAnsi="Maiandra GD" w:cs="Times New Roman"/>
      <w:b/>
      <w:bCs/>
      <w:smallCaps/>
      <w:color w:val="244061"/>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EF"/>
    <w:rPr>
      <w:rFonts w:ascii="Arial" w:hAnsi="Arial" w:cs="Arial"/>
      <w:sz w:val="24"/>
      <w:szCs w:val="24"/>
    </w:rPr>
  </w:style>
  <w:style w:type="paragraph" w:styleId="Heading1">
    <w:name w:val="heading 1"/>
    <w:basedOn w:val="Normal"/>
    <w:next w:val="Normal"/>
    <w:link w:val="Heading1Char"/>
    <w:qFormat/>
    <w:rsid w:val="005E7AA7"/>
    <w:pPr>
      <w:keepNext/>
      <w:keepLines/>
      <w:spacing w:before="120" w:after="0" w:line="240" w:lineRule="auto"/>
      <w:outlineLvl w:val="0"/>
    </w:pPr>
    <w:rPr>
      <w:rFonts w:ascii="Maiandra GD" w:eastAsia="Times New Roman" w:hAnsi="Maiandra GD" w:cs="Times New Roman"/>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457"/>
    <w:rPr>
      <w:color w:val="0000FF" w:themeColor="hyperlink"/>
      <w:u w:val="single"/>
    </w:rPr>
  </w:style>
  <w:style w:type="paragraph" w:styleId="NormalWeb">
    <w:name w:val="Normal (Web)"/>
    <w:basedOn w:val="Normal"/>
    <w:uiPriority w:val="99"/>
    <w:unhideWhenUsed/>
    <w:rsid w:val="00402A8B"/>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166A1"/>
    <w:rPr>
      <w:color w:val="800080" w:themeColor="followedHyperlink"/>
      <w:u w:val="single"/>
    </w:rPr>
  </w:style>
  <w:style w:type="paragraph" w:styleId="Header">
    <w:name w:val="header"/>
    <w:basedOn w:val="Normal"/>
    <w:link w:val="HeaderChar"/>
    <w:uiPriority w:val="99"/>
    <w:unhideWhenUsed/>
    <w:rsid w:val="00C87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0EA"/>
    <w:rPr>
      <w:rFonts w:ascii="Arial" w:hAnsi="Arial" w:cs="Arial"/>
      <w:sz w:val="24"/>
      <w:szCs w:val="24"/>
    </w:rPr>
  </w:style>
  <w:style w:type="paragraph" w:styleId="Footer">
    <w:name w:val="footer"/>
    <w:basedOn w:val="Normal"/>
    <w:link w:val="FooterChar"/>
    <w:uiPriority w:val="99"/>
    <w:unhideWhenUsed/>
    <w:rsid w:val="00C87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0EA"/>
    <w:rPr>
      <w:rFonts w:ascii="Arial" w:hAnsi="Arial" w:cs="Arial"/>
      <w:sz w:val="24"/>
      <w:szCs w:val="24"/>
    </w:rPr>
  </w:style>
  <w:style w:type="paragraph" w:styleId="BalloonText">
    <w:name w:val="Balloon Text"/>
    <w:basedOn w:val="Normal"/>
    <w:link w:val="BalloonTextChar"/>
    <w:uiPriority w:val="99"/>
    <w:semiHidden/>
    <w:unhideWhenUsed/>
    <w:rsid w:val="00820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8F5"/>
    <w:rPr>
      <w:rFonts w:ascii="Tahoma" w:hAnsi="Tahoma" w:cs="Tahoma"/>
      <w:sz w:val="16"/>
      <w:szCs w:val="16"/>
    </w:rPr>
  </w:style>
  <w:style w:type="paragraph" w:styleId="ListParagraph">
    <w:name w:val="List Paragraph"/>
    <w:basedOn w:val="Normal"/>
    <w:uiPriority w:val="34"/>
    <w:qFormat/>
    <w:rsid w:val="00752109"/>
    <w:pPr>
      <w:ind w:left="720"/>
      <w:contextualSpacing/>
    </w:pPr>
  </w:style>
  <w:style w:type="character" w:styleId="CommentReference">
    <w:name w:val="annotation reference"/>
    <w:basedOn w:val="DefaultParagraphFont"/>
    <w:uiPriority w:val="99"/>
    <w:semiHidden/>
    <w:unhideWhenUsed/>
    <w:rsid w:val="00E54F71"/>
    <w:rPr>
      <w:sz w:val="16"/>
      <w:szCs w:val="16"/>
    </w:rPr>
  </w:style>
  <w:style w:type="paragraph" w:styleId="CommentText">
    <w:name w:val="annotation text"/>
    <w:basedOn w:val="Normal"/>
    <w:link w:val="CommentTextChar"/>
    <w:uiPriority w:val="99"/>
    <w:unhideWhenUsed/>
    <w:rsid w:val="00E54F71"/>
    <w:pPr>
      <w:spacing w:line="240" w:lineRule="auto"/>
    </w:pPr>
    <w:rPr>
      <w:sz w:val="20"/>
      <w:szCs w:val="20"/>
    </w:rPr>
  </w:style>
  <w:style w:type="character" w:customStyle="1" w:styleId="CommentTextChar">
    <w:name w:val="Comment Text Char"/>
    <w:basedOn w:val="DefaultParagraphFont"/>
    <w:link w:val="CommentText"/>
    <w:uiPriority w:val="99"/>
    <w:rsid w:val="00E54F7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54F71"/>
    <w:rPr>
      <w:b/>
      <w:bCs/>
    </w:rPr>
  </w:style>
  <w:style w:type="character" w:customStyle="1" w:styleId="CommentSubjectChar">
    <w:name w:val="Comment Subject Char"/>
    <w:basedOn w:val="CommentTextChar"/>
    <w:link w:val="CommentSubject"/>
    <w:uiPriority w:val="99"/>
    <w:semiHidden/>
    <w:rsid w:val="00E54F71"/>
    <w:rPr>
      <w:rFonts w:ascii="Arial" w:hAnsi="Arial" w:cs="Arial"/>
      <w:b/>
      <w:bCs/>
      <w:sz w:val="20"/>
      <w:szCs w:val="20"/>
    </w:rPr>
  </w:style>
  <w:style w:type="character" w:customStyle="1" w:styleId="apple-converted-space">
    <w:name w:val="apple-converted-space"/>
    <w:basedOn w:val="DefaultParagraphFont"/>
    <w:rsid w:val="00D21204"/>
  </w:style>
  <w:style w:type="table" w:styleId="TableGrid">
    <w:name w:val="Table Grid"/>
    <w:basedOn w:val="TableNormal"/>
    <w:uiPriority w:val="59"/>
    <w:rsid w:val="005E6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153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3CD"/>
    <w:rPr>
      <w:rFonts w:ascii="Arial" w:hAnsi="Arial" w:cs="Arial"/>
      <w:sz w:val="20"/>
      <w:szCs w:val="20"/>
    </w:rPr>
  </w:style>
  <w:style w:type="character" w:styleId="FootnoteReference">
    <w:name w:val="footnote reference"/>
    <w:basedOn w:val="DefaultParagraphFont"/>
    <w:uiPriority w:val="99"/>
    <w:semiHidden/>
    <w:unhideWhenUsed/>
    <w:rsid w:val="001153CD"/>
    <w:rPr>
      <w:vertAlign w:val="superscript"/>
    </w:rPr>
  </w:style>
  <w:style w:type="character" w:customStyle="1" w:styleId="Heading1Char">
    <w:name w:val="Heading 1 Char"/>
    <w:basedOn w:val="DefaultParagraphFont"/>
    <w:link w:val="Heading1"/>
    <w:rsid w:val="005E7AA7"/>
    <w:rPr>
      <w:rFonts w:ascii="Maiandra GD" w:eastAsia="Times New Roman" w:hAnsi="Maiandra GD" w:cs="Times New Roman"/>
      <w:b/>
      <w:bCs/>
      <w:smallCaps/>
      <w:color w:val="244061"/>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09699">
      <w:bodyDiv w:val="1"/>
      <w:marLeft w:val="0"/>
      <w:marRight w:val="0"/>
      <w:marTop w:val="0"/>
      <w:marBottom w:val="0"/>
      <w:divBdr>
        <w:top w:val="none" w:sz="0" w:space="0" w:color="auto"/>
        <w:left w:val="none" w:sz="0" w:space="0" w:color="auto"/>
        <w:bottom w:val="none" w:sz="0" w:space="0" w:color="auto"/>
        <w:right w:val="none" w:sz="0" w:space="0" w:color="auto"/>
      </w:divBdr>
      <w:divsChild>
        <w:div w:id="775055898">
          <w:marLeft w:val="0"/>
          <w:marRight w:val="0"/>
          <w:marTop w:val="0"/>
          <w:marBottom w:val="0"/>
          <w:divBdr>
            <w:top w:val="none" w:sz="0" w:space="0" w:color="auto"/>
            <w:left w:val="none" w:sz="0" w:space="0" w:color="auto"/>
            <w:bottom w:val="none" w:sz="0" w:space="0" w:color="auto"/>
            <w:right w:val="none" w:sz="0" w:space="0" w:color="auto"/>
          </w:divBdr>
          <w:divsChild>
            <w:div w:id="1778208628">
              <w:marLeft w:val="0"/>
              <w:marRight w:val="0"/>
              <w:marTop w:val="0"/>
              <w:marBottom w:val="0"/>
              <w:divBdr>
                <w:top w:val="none" w:sz="0" w:space="0" w:color="auto"/>
                <w:left w:val="none" w:sz="0" w:space="0" w:color="auto"/>
                <w:bottom w:val="none" w:sz="0" w:space="0" w:color="auto"/>
                <w:right w:val="none" w:sz="0" w:space="0" w:color="auto"/>
              </w:divBdr>
              <w:divsChild>
                <w:div w:id="416944238">
                  <w:marLeft w:val="0"/>
                  <w:marRight w:val="0"/>
                  <w:marTop w:val="0"/>
                  <w:marBottom w:val="0"/>
                  <w:divBdr>
                    <w:top w:val="none" w:sz="0" w:space="0" w:color="auto"/>
                    <w:left w:val="none" w:sz="0" w:space="0" w:color="auto"/>
                    <w:bottom w:val="none" w:sz="0" w:space="0" w:color="auto"/>
                    <w:right w:val="none" w:sz="0" w:space="0" w:color="auto"/>
                  </w:divBdr>
                  <w:divsChild>
                    <w:div w:id="1070083519">
                      <w:marLeft w:val="0"/>
                      <w:marRight w:val="0"/>
                      <w:marTop w:val="0"/>
                      <w:marBottom w:val="0"/>
                      <w:divBdr>
                        <w:top w:val="none" w:sz="0" w:space="0" w:color="auto"/>
                        <w:left w:val="none" w:sz="0" w:space="0" w:color="auto"/>
                        <w:bottom w:val="none" w:sz="0" w:space="0" w:color="auto"/>
                        <w:right w:val="none" w:sz="0" w:space="0" w:color="auto"/>
                      </w:divBdr>
                      <w:divsChild>
                        <w:div w:id="1413503070">
                          <w:marLeft w:val="0"/>
                          <w:marRight w:val="0"/>
                          <w:marTop w:val="0"/>
                          <w:marBottom w:val="0"/>
                          <w:divBdr>
                            <w:top w:val="none" w:sz="0" w:space="0" w:color="auto"/>
                            <w:left w:val="none" w:sz="0" w:space="0" w:color="auto"/>
                            <w:bottom w:val="none" w:sz="0" w:space="0" w:color="auto"/>
                            <w:right w:val="none" w:sz="0" w:space="0" w:color="auto"/>
                          </w:divBdr>
                          <w:divsChild>
                            <w:div w:id="254361309">
                              <w:marLeft w:val="0"/>
                              <w:marRight w:val="0"/>
                              <w:marTop w:val="0"/>
                              <w:marBottom w:val="0"/>
                              <w:divBdr>
                                <w:top w:val="none" w:sz="0" w:space="0" w:color="auto"/>
                                <w:left w:val="none" w:sz="0" w:space="0" w:color="auto"/>
                                <w:bottom w:val="none" w:sz="0" w:space="0" w:color="auto"/>
                                <w:right w:val="none" w:sz="0" w:space="0" w:color="auto"/>
                              </w:divBdr>
                              <w:divsChild>
                                <w:div w:id="1596398237">
                                  <w:marLeft w:val="0"/>
                                  <w:marRight w:val="0"/>
                                  <w:marTop w:val="0"/>
                                  <w:marBottom w:val="0"/>
                                  <w:divBdr>
                                    <w:top w:val="none" w:sz="0" w:space="0" w:color="auto"/>
                                    <w:left w:val="none" w:sz="0" w:space="0" w:color="auto"/>
                                    <w:bottom w:val="none" w:sz="0" w:space="0" w:color="auto"/>
                                    <w:right w:val="none" w:sz="0" w:space="0" w:color="auto"/>
                                  </w:divBdr>
                                  <w:divsChild>
                                    <w:div w:id="1531145148">
                                      <w:marLeft w:val="0"/>
                                      <w:marRight w:val="0"/>
                                      <w:marTop w:val="0"/>
                                      <w:marBottom w:val="0"/>
                                      <w:divBdr>
                                        <w:top w:val="none" w:sz="0" w:space="0" w:color="auto"/>
                                        <w:left w:val="none" w:sz="0" w:space="0" w:color="auto"/>
                                        <w:bottom w:val="none" w:sz="0" w:space="0" w:color="auto"/>
                                        <w:right w:val="none" w:sz="0" w:space="0" w:color="auto"/>
                                      </w:divBdr>
                                      <w:divsChild>
                                        <w:div w:id="1150946877">
                                          <w:marLeft w:val="0"/>
                                          <w:marRight w:val="0"/>
                                          <w:marTop w:val="0"/>
                                          <w:marBottom w:val="0"/>
                                          <w:divBdr>
                                            <w:top w:val="none" w:sz="0" w:space="0" w:color="auto"/>
                                            <w:left w:val="none" w:sz="0" w:space="0" w:color="auto"/>
                                            <w:bottom w:val="none" w:sz="0" w:space="0" w:color="auto"/>
                                            <w:right w:val="none" w:sz="0" w:space="0" w:color="auto"/>
                                          </w:divBdr>
                                          <w:divsChild>
                                            <w:div w:id="1524511554">
                                              <w:marLeft w:val="0"/>
                                              <w:marRight w:val="0"/>
                                              <w:marTop w:val="0"/>
                                              <w:marBottom w:val="0"/>
                                              <w:divBdr>
                                                <w:top w:val="none" w:sz="0" w:space="0" w:color="auto"/>
                                                <w:left w:val="none" w:sz="0" w:space="0" w:color="auto"/>
                                                <w:bottom w:val="none" w:sz="0" w:space="0" w:color="auto"/>
                                                <w:right w:val="none" w:sz="0" w:space="0" w:color="auto"/>
                                              </w:divBdr>
                                              <w:divsChild>
                                                <w:div w:id="501622851">
                                                  <w:marLeft w:val="0"/>
                                                  <w:marRight w:val="0"/>
                                                  <w:marTop w:val="0"/>
                                                  <w:marBottom w:val="0"/>
                                                  <w:divBdr>
                                                    <w:top w:val="none" w:sz="0" w:space="0" w:color="auto"/>
                                                    <w:left w:val="none" w:sz="0" w:space="0" w:color="auto"/>
                                                    <w:bottom w:val="none" w:sz="0" w:space="0" w:color="auto"/>
                                                    <w:right w:val="none" w:sz="0" w:space="0" w:color="auto"/>
                                                  </w:divBdr>
                                                  <w:divsChild>
                                                    <w:div w:id="813109026">
                                                      <w:marLeft w:val="0"/>
                                                      <w:marRight w:val="0"/>
                                                      <w:marTop w:val="0"/>
                                                      <w:marBottom w:val="0"/>
                                                      <w:divBdr>
                                                        <w:top w:val="none" w:sz="0" w:space="0" w:color="auto"/>
                                                        <w:left w:val="none" w:sz="0" w:space="0" w:color="auto"/>
                                                        <w:bottom w:val="none" w:sz="0" w:space="0" w:color="auto"/>
                                                        <w:right w:val="none" w:sz="0" w:space="0" w:color="auto"/>
                                                      </w:divBdr>
                                                      <w:divsChild>
                                                        <w:div w:id="1456289759">
                                                          <w:marLeft w:val="0"/>
                                                          <w:marRight w:val="0"/>
                                                          <w:marTop w:val="0"/>
                                                          <w:marBottom w:val="0"/>
                                                          <w:divBdr>
                                                            <w:top w:val="none" w:sz="0" w:space="0" w:color="auto"/>
                                                            <w:left w:val="none" w:sz="0" w:space="0" w:color="auto"/>
                                                            <w:bottom w:val="none" w:sz="0" w:space="0" w:color="auto"/>
                                                            <w:right w:val="none" w:sz="0" w:space="0" w:color="auto"/>
                                                          </w:divBdr>
                                                          <w:divsChild>
                                                            <w:div w:id="1025208086">
                                                              <w:marLeft w:val="0"/>
                                                              <w:marRight w:val="0"/>
                                                              <w:marTop w:val="0"/>
                                                              <w:marBottom w:val="0"/>
                                                              <w:divBdr>
                                                                <w:top w:val="none" w:sz="0" w:space="0" w:color="auto"/>
                                                                <w:left w:val="none" w:sz="0" w:space="0" w:color="auto"/>
                                                                <w:bottom w:val="none" w:sz="0" w:space="0" w:color="auto"/>
                                                                <w:right w:val="none" w:sz="0" w:space="0" w:color="auto"/>
                                                              </w:divBdr>
                                                              <w:divsChild>
                                                                <w:div w:id="1115057214">
                                                                  <w:marLeft w:val="0"/>
                                                                  <w:marRight w:val="0"/>
                                                                  <w:marTop w:val="0"/>
                                                                  <w:marBottom w:val="0"/>
                                                                  <w:divBdr>
                                                                    <w:top w:val="none" w:sz="0" w:space="0" w:color="auto"/>
                                                                    <w:left w:val="none" w:sz="0" w:space="0" w:color="auto"/>
                                                                    <w:bottom w:val="none" w:sz="0" w:space="0" w:color="auto"/>
                                                                    <w:right w:val="none" w:sz="0" w:space="0" w:color="auto"/>
                                                                  </w:divBdr>
                                                                  <w:divsChild>
                                                                    <w:div w:id="2070027949">
                                                                      <w:marLeft w:val="0"/>
                                                                      <w:marRight w:val="0"/>
                                                                      <w:marTop w:val="0"/>
                                                                      <w:marBottom w:val="0"/>
                                                                      <w:divBdr>
                                                                        <w:top w:val="none" w:sz="0" w:space="0" w:color="auto"/>
                                                                        <w:left w:val="none" w:sz="0" w:space="0" w:color="auto"/>
                                                                        <w:bottom w:val="none" w:sz="0" w:space="0" w:color="auto"/>
                                                                        <w:right w:val="none" w:sz="0" w:space="0" w:color="auto"/>
                                                                      </w:divBdr>
                                                                      <w:divsChild>
                                                                        <w:div w:id="135613661">
                                                                          <w:marLeft w:val="0"/>
                                                                          <w:marRight w:val="0"/>
                                                                          <w:marTop w:val="0"/>
                                                                          <w:marBottom w:val="0"/>
                                                                          <w:divBdr>
                                                                            <w:top w:val="none" w:sz="0" w:space="0" w:color="auto"/>
                                                                            <w:left w:val="none" w:sz="0" w:space="0" w:color="auto"/>
                                                                            <w:bottom w:val="none" w:sz="0" w:space="0" w:color="auto"/>
                                                                            <w:right w:val="none" w:sz="0" w:space="0" w:color="auto"/>
                                                                          </w:divBdr>
                                                                          <w:divsChild>
                                                                            <w:div w:id="1905793002">
                                                                              <w:marLeft w:val="0"/>
                                                                              <w:marRight w:val="0"/>
                                                                              <w:marTop w:val="0"/>
                                                                              <w:marBottom w:val="0"/>
                                                                              <w:divBdr>
                                                                                <w:top w:val="none" w:sz="0" w:space="0" w:color="auto"/>
                                                                                <w:left w:val="none" w:sz="0" w:space="0" w:color="auto"/>
                                                                                <w:bottom w:val="none" w:sz="0" w:space="0" w:color="auto"/>
                                                                                <w:right w:val="none" w:sz="0" w:space="0" w:color="auto"/>
                                                                              </w:divBdr>
                                                                              <w:divsChild>
                                                                                <w:div w:id="734935200">
                                                                                  <w:marLeft w:val="0"/>
                                                                                  <w:marRight w:val="0"/>
                                                                                  <w:marTop w:val="0"/>
                                                                                  <w:marBottom w:val="0"/>
                                                                                  <w:divBdr>
                                                                                    <w:top w:val="none" w:sz="0" w:space="0" w:color="auto"/>
                                                                                    <w:left w:val="none" w:sz="0" w:space="0" w:color="auto"/>
                                                                                    <w:bottom w:val="none" w:sz="0" w:space="0" w:color="auto"/>
                                                                                    <w:right w:val="none" w:sz="0" w:space="0" w:color="auto"/>
                                                                                  </w:divBdr>
                                                                                  <w:divsChild>
                                                                                    <w:div w:id="19671200">
                                                                                      <w:marLeft w:val="0"/>
                                                                                      <w:marRight w:val="0"/>
                                                                                      <w:marTop w:val="0"/>
                                                                                      <w:marBottom w:val="0"/>
                                                                                      <w:divBdr>
                                                                                        <w:top w:val="none" w:sz="0" w:space="0" w:color="auto"/>
                                                                                        <w:left w:val="none" w:sz="0" w:space="0" w:color="auto"/>
                                                                                        <w:bottom w:val="none" w:sz="0" w:space="0" w:color="auto"/>
                                                                                        <w:right w:val="none" w:sz="0" w:space="0" w:color="auto"/>
                                                                                      </w:divBdr>
                                                                                      <w:divsChild>
                                                                                        <w:div w:id="176967152">
                                                                                          <w:marLeft w:val="0"/>
                                                                                          <w:marRight w:val="0"/>
                                                                                          <w:marTop w:val="0"/>
                                                                                          <w:marBottom w:val="0"/>
                                                                                          <w:divBdr>
                                                                                            <w:top w:val="none" w:sz="0" w:space="0" w:color="auto"/>
                                                                                            <w:left w:val="none" w:sz="0" w:space="0" w:color="auto"/>
                                                                                            <w:bottom w:val="none" w:sz="0" w:space="0" w:color="auto"/>
                                                                                            <w:right w:val="none" w:sz="0" w:space="0" w:color="auto"/>
                                                                                          </w:divBdr>
                                                                                          <w:divsChild>
                                                                                            <w:div w:id="1768844206">
                                                                                              <w:marLeft w:val="0"/>
                                                                                              <w:marRight w:val="0"/>
                                                                                              <w:marTop w:val="0"/>
                                                                                              <w:marBottom w:val="0"/>
                                                                                              <w:divBdr>
                                                                                                <w:top w:val="none" w:sz="0" w:space="0" w:color="auto"/>
                                                                                                <w:left w:val="none" w:sz="0" w:space="0" w:color="auto"/>
                                                                                                <w:bottom w:val="none" w:sz="0" w:space="0" w:color="auto"/>
                                                                                                <w:right w:val="none" w:sz="0" w:space="0" w:color="auto"/>
                                                                                              </w:divBdr>
                                                                                              <w:divsChild>
                                                                                                <w:div w:id="1345472121">
                                                                                                  <w:marLeft w:val="0"/>
                                                                                                  <w:marRight w:val="0"/>
                                                                                                  <w:marTop w:val="0"/>
                                                                                                  <w:marBottom w:val="0"/>
                                                                                                  <w:divBdr>
                                                                                                    <w:top w:val="none" w:sz="0" w:space="0" w:color="auto"/>
                                                                                                    <w:left w:val="none" w:sz="0" w:space="0" w:color="auto"/>
                                                                                                    <w:bottom w:val="none" w:sz="0" w:space="0" w:color="auto"/>
                                                                                                    <w:right w:val="none" w:sz="0" w:space="0" w:color="auto"/>
                                                                                                  </w:divBdr>
                                                                                                  <w:divsChild>
                                                                                                    <w:div w:id="36590755">
                                                                                                      <w:marLeft w:val="0"/>
                                                                                                      <w:marRight w:val="0"/>
                                                                                                      <w:marTop w:val="0"/>
                                                                                                      <w:marBottom w:val="0"/>
                                                                                                      <w:divBdr>
                                                                                                        <w:top w:val="none" w:sz="0" w:space="0" w:color="auto"/>
                                                                                                        <w:left w:val="none" w:sz="0" w:space="0" w:color="auto"/>
                                                                                                        <w:bottom w:val="none" w:sz="0" w:space="0" w:color="auto"/>
                                                                                                        <w:right w:val="none" w:sz="0" w:space="0" w:color="auto"/>
                                                                                                      </w:divBdr>
                                                                                                      <w:divsChild>
                                                                                                        <w:div w:id="860356925">
                                                                                                          <w:marLeft w:val="0"/>
                                                                                                          <w:marRight w:val="0"/>
                                                                                                          <w:marTop w:val="0"/>
                                                                                                          <w:marBottom w:val="0"/>
                                                                                                          <w:divBdr>
                                                                                                            <w:top w:val="none" w:sz="0" w:space="0" w:color="auto"/>
                                                                                                            <w:left w:val="none" w:sz="0" w:space="0" w:color="auto"/>
                                                                                                            <w:bottom w:val="none" w:sz="0" w:space="0" w:color="auto"/>
                                                                                                            <w:right w:val="none" w:sz="0" w:space="0" w:color="auto"/>
                                                                                                          </w:divBdr>
                                                                                                          <w:divsChild>
                                                                                                            <w:div w:id="879126079">
                                                                                                              <w:marLeft w:val="0"/>
                                                                                                              <w:marRight w:val="0"/>
                                                                                                              <w:marTop w:val="0"/>
                                                                                                              <w:marBottom w:val="0"/>
                                                                                                              <w:divBdr>
                                                                                                                <w:top w:val="none" w:sz="0" w:space="0" w:color="auto"/>
                                                                                                                <w:left w:val="none" w:sz="0" w:space="0" w:color="auto"/>
                                                                                                                <w:bottom w:val="none" w:sz="0" w:space="0" w:color="auto"/>
                                                                                                                <w:right w:val="none" w:sz="0" w:space="0" w:color="auto"/>
                                                                                                              </w:divBdr>
                                                                                                              <w:divsChild>
                                                                                                                <w:div w:id="1664772422">
                                                                                                                  <w:marLeft w:val="0"/>
                                                                                                                  <w:marRight w:val="0"/>
                                                                                                                  <w:marTop w:val="0"/>
                                                                                                                  <w:marBottom w:val="0"/>
                                                                                                                  <w:divBdr>
                                                                                                                    <w:top w:val="none" w:sz="0" w:space="0" w:color="auto"/>
                                                                                                                    <w:left w:val="none" w:sz="0" w:space="0" w:color="auto"/>
                                                                                                                    <w:bottom w:val="none" w:sz="0" w:space="0" w:color="auto"/>
                                                                                                                    <w:right w:val="none" w:sz="0" w:space="0" w:color="auto"/>
                                                                                                                  </w:divBdr>
                                                                                                                  <w:divsChild>
                                                                                                                    <w:div w:id="696849630">
                                                                                                                      <w:marLeft w:val="0"/>
                                                                                                                      <w:marRight w:val="0"/>
                                                                                                                      <w:marTop w:val="0"/>
                                                                                                                      <w:marBottom w:val="0"/>
                                                                                                                      <w:divBdr>
                                                                                                                        <w:top w:val="none" w:sz="0" w:space="0" w:color="auto"/>
                                                                                                                        <w:left w:val="none" w:sz="0" w:space="0" w:color="auto"/>
                                                                                                                        <w:bottom w:val="none" w:sz="0" w:space="0" w:color="auto"/>
                                                                                                                        <w:right w:val="none" w:sz="0" w:space="0" w:color="auto"/>
                                                                                                                      </w:divBdr>
                                                                                                                    </w:div>
                                                                                                                    <w:div w:id="1587688">
                                                                                                                      <w:marLeft w:val="0"/>
                                                                                                                      <w:marRight w:val="0"/>
                                                                                                                      <w:marTop w:val="0"/>
                                                                                                                      <w:marBottom w:val="0"/>
                                                                                                                      <w:divBdr>
                                                                                                                        <w:top w:val="none" w:sz="0" w:space="0" w:color="auto"/>
                                                                                                                        <w:left w:val="none" w:sz="0" w:space="0" w:color="auto"/>
                                                                                                                        <w:bottom w:val="none" w:sz="0" w:space="0" w:color="auto"/>
                                                                                                                        <w:right w:val="none" w:sz="0" w:space="0" w:color="auto"/>
                                                                                                                      </w:divBdr>
                                                                                                                      <w:divsChild>
                                                                                                                        <w:div w:id="206529031">
                                                                                                                          <w:marLeft w:val="0"/>
                                                                                                                          <w:marRight w:val="0"/>
                                                                                                                          <w:marTop w:val="0"/>
                                                                                                                          <w:marBottom w:val="0"/>
                                                                                                                          <w:divBdr>
                                                                                                                            <w:top w:val="none" w:sz="0" w:space="0" w:color="auto"/>
                                                                                                                            <w:left w:val="none" w:sz="0" w:space="0" w:color="auto"/>
                                                                                                                            <w:bottom w:val="none" w:sz="0" w:space="0" w:color="auto"/>
                                                                                                                            <w:right w:val="none" w:sz="0" w:space="0" w:color="auto"/>
                                                                                                                          </w:divBdr>
                                                                                                                          <w:divsChild>
                                                                                                                            <w:div w:id="1688554199">
                                                                                                                              <w:marLeft w:val="0"/>
                                                                                                                              <w:marRight w:val="0"/>
                                                                                                                              <w:marTop w:val="0"/>
                                                                                                                              <w:marBottom w:val="0"/>
                                                                                                                              <w:divBdr>
                                                                                                                                <w:top w:val="none" w:sz="0" w:space="0" w:color="auto"/>
                                                                                                                                <w:left w:val="none" w:sz="0" w:space="0" w:color="auto"/>
                                                                                                                                <w:bottom w:val="none" w:sz="0" w:space="0" w:color="auto"/>
                                                                                                                                <w:right w:val="none" w:sz="0" w:space="0" w:color="auto"/>
                                                                                                                              </w:divBdr>
                                                                                                                              <w:divsChild>
                                                                                                                                <w:div w:id="1006518444">
                                                                                                                                  <w:marLeft w:val="0"/>
                                                                                                                                  <w:marRight w:val="0"/>
                                                                                                                                  <w:marTop w:val="0"/>
                                                                                                                                  <w:marBottom w:val="0"/>
                                                                                                                                  <w:divBdr>
                                                                                                                                    <w:top w:val="none" w:sz="0" w:space="0" w:color="auto"/>
                                                                                                                                    <w:left w:val="none" w:sz="0" w:space="0" w:color="auto"/>
                                                                                                                                    <w:bottom w:val="none" w:sz="0" w:space="0" w:color="auto"/>
                                                                                                                                    <w:right w:val="none" w:sz="0" w:space="0" w:color="auto"/>
                                                                                                                                  </w:divBdr>
                                                                                                                                  <w:divsChild>
                                                                                                                                    <w:div w:id="440272144">
                                                                                                                                      <w:marLeft w:val="0"/>
                                                                                                                                      <w:marRight w:val="0"/>
                                                                                                                                      <w:marTop w:val="0"/>
                                                                                                                                      <w:marBottom w:val="0"/>
                                                                                                                                      <w:divBdr>
                                                                                                                                        <w:top w:val="none" w:sz="0" w:space="0" w:color="auto"/>
                                                                                                                                        <w:left w:val="none" w:sz="0" w:space="0" w:color="auto"/>
                                                                                                                                        <w:bottom w:val="none" w:sz="0" w:space="0" w:color="auto"/>
                                                                                                                                        <w:right w:val="none" w:sz="0" w:space="0" w:color="auto"/>
                                                                                                                                      </w:divBdr>
                                                                                                                                      <w:divsChild>
                                                                                                                                        <w:div w:id="2141267590">
                                                                                                                                          <w:marLeft w:val="0"/>
                                                                                                                                          <w:marRight w:val="0"/>
                                                                                                                                          <w:marTop w:val="0"/>
                                                                                                                                          <w:marBottom w:val="0"/>
                                                                                                                                          <w:divBdr>
                                                                                                                                            <w:top w:val="none" w:sz="0" w:space="0" w:color="auto"/>
                                                                                                                                            <w:left w:val="none" w:sz="0" w:space="0" w:color="auto"/>
                                                                                                                                            <w:bottom w:val="none" w:sz="0" w:space="0" w:color="auto"/>
                                                                                                                                            <w:right w:val="none" w:sz="0" w:space="0" w:color="auto"/>
                                                                                                                                          </w:divBdr>
                                                                                                                                          <w:divsChild>
                                                                                                                                            <w:div w:id="4037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161750">
      <w:bodyDiv w:val="1"/>
      <w:marLeft w:val="0"/>
      <w:marRight w:val="0"/>
      <w:marTop w:val="0"/>
      <w:marBottom w:val="0"/>
      <w:divBdr>
        <w:top w:val="none" w:sz="0" w:space="0" w:color="auto"/>
        <w:left w:val="none" w:sz="0" w:space="0" w:color="auto"/>
        <w:bottom w:val="none" w:sz="0" w:space="0" w:color="auto"/>
        <w:right w:val="none" w:sz="0" w:space="0" w:color="auto"/>
      </w:divBdr>
      <w:divsChild>
        <w:div w:id="635378232">
          <w:marLeft w:val="0"/>
          <w:marRight w:val="0"/>
          <w:marTop w:val="0"/>
          <w:marBottom w:val="0"/>
          <w:divBdr>
            <w:top w:val="none" w:sz="0" w:space="0" w:color="auto"/>
            <w:left w:val="none" w:sz="0" w:space="0" w:color="auto"/>
            <w:bottom w:val="none" w:sz="0" w:space="0" w:color="auto"/>
            <w:right w:val="none" w:sz="0" w:space="0" w:color="auto"/>
          </w:divBdr>
          <w:divsChild>
            <w:div w:id="345406060">
              <w:marLeft w:val="0"/>
              <w:marRight w:val="0"/>
              <w:marTop w:val="0"/>
              <w:marBottom w:val="0"/>
              <w:divBdr>
                <w:top w:val="none" w:sz="0" w:space="0" w:color="auto"/>
                <w:left w:val="none" w:sz="0" w:space="0" w:color="auto"/>
                <w:bottom w:val="none" w:sz="0" w:space="0" w:color="auto"/>
                <w:right w:val="none" w:sz="0" w:space="0" w:color="auto"/>
              </w:divBdr>
              <w:divsChild>
                <w:div w:id="167258412">
                  <w:marLeft w:val="0"/>
                  <w:marRight w:val="0"/>
                  <w:marTop w:val="0"/>
                  <w:marBottom w:val="0"/>
                  <w:divBdr>
                    <w:top w:val="none" w:sz="0" w:space="0" w:color="auto"/>
                    <w:left w:val="none" w:sz="0" w:space="0" w:color="auto"/>
                    <w:bottom w:val="none" w:sz="0" w:space="0" w:color="auto"/>
                    <w:right w:val="none" w:sz="0" w:space="0" w:color="auto"/>
                  </w:divBdr>
                  <w:divsChild>
                    <w:div w:id="1559167363">
                      <w:marLeft w:val="0"/>
                      <w:marRight w:val="0"/>
                      <w:marTop w:val="0"/>
                      <w:marBottom w:val="0"/>
                      <w:divBdr>
                        <w:top w:val="none" w:sz="0" w:space="0" w:color="auto"/>
                        <w:left w:val="none" w:sz="0" w:space="0" w:color="auto"/>
                        <w:bottom w:val="none" w:sz="0" w:space="0" w:color="auto"/>
                        <w:right w:val="none" w:sz="0" w:space="0" w:color="auto"/>
                      </w:divBdr>
                      <w:divsChild>
                        <w:div w:id="1978336512">
                          <w:marLeft w:val="0"/>
                          <w:marRight w:val="0"/>
                          <w:marTop w:val="0"/>
                          <w:marBottom w:val="0"/>
                          <w:divBdr>
                            <w:top w:val="none" w:sz="0" w:space="0" w:color="auto"/>
                            <w:left w:val="none" w:sz="0" w:space="0" w:color="auto"/>
                            <w:bottom w:val="none" w:sz="0" w:space="0" w:color="auto"/>
                            <w:right w:val="none" w:sz="0" w:space="0" w:color="auto"/>
                          </w:divBdr>
                          <w:divsChild>
                            <w:div w:id="971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267220">
          <w:marLeft w:val="0"/>
          <w:marRight w:val="0"/>
          <w:marTop w:val="0"/>
          <w:marBottom w:val="0"/>
          <w:divBdr>
            <w:top w:val="none" w:sz="0" w:space="0" w:color="auto"/>
            <w:left w:val="none" w:sz="0" w:space="0" w:color="auto"/>
            <w:bottom w:val="none" w:sz="0" w:space="0" w:color="auto"/>
            <w:right w:val="none" w:sz="0" w:space="0" w:color="auto"/>
          </w:divBdr>
          <w:divsChild>
            <w:div w:id="2118132900">
              <w:marLeft w:val="0"/>
              <w:marRight w:val="0"/>
              <w:marTop w:val="0"/>
              <w:marBottom w:val="0"/>
              <w:divBdr>
                <w:top w:val="none" w:sz="0" w:space="0" w:color="auto"/>
                <w:left w:val="none" w:sz="0" w:space="0" w:color="auto"/>
                <w:bottom w:val="none" w:sz="0" w:space="0" w:color="auto"/>
                <w:right w:val="none" w:sz="0" w:space="0" w:color="auto"/>
              </w:divBdr>
            </w:div>
          </w:divsChild>
        </w:div>
        <w:div w:id="995036609">
          <w:marLeft w:val="0"/>
          <w:marRight w:val="150"/>
          <w:marTop w:val="0"/>
          <w:marBottom w:val="0"/>
          <w:divBdr>
            <w:top w:val="none" w:sz="0" w:space="0" w:color="auto"/>
            <w:left w:val="none" w:sz="0" w:space="0" w:color="auto"/>
            <w:bottom w:val="none" w:sz="0" w:space="0" w:color="auto"/>
            <w:right w:val="none" w:sz="0" w:space="0" w:color="auto"/>
          </w:divBdr>
          <w:divsChild>
            <w:div w:id="214439649">
              <w:marLeft w:val="0"/>
              <w:marRight w:val="0"/>
              <w:marTop w:val="0"/>
              <w:marBottom w:val="0"/>
              <w:divBdr>
                <w:top w:val="none" w:sz="0" w:space="0" w:color="auto"/>
                <w:left w:val="none" w:sz="0" w:space="0" w:color="auto"/>
                <w:bottom w:val="none" w:sz="0" w:space="0" w:color="auto"/>
                <w:right w:val="none" w:sz="0" w:space="0" w:color="auto"/>
              </w:divBdr>
              <w:divsChild>
                <w:div w:id="866018651">
                  <w:marLeft w:val="0"/>
                  <w:marRight w:val="0"/>
                  <w:marTop w:val="0"/>
                  <w:marBottom w:val="0"/>
                  <w:divBdr>
                    <w:top w:val="none" w:sz="0" w:space="0" w:color="auto"/>
                    <w:left w:val="none" w:sz="0" w:space="0" w:color="auto"/>
                    <w:bottom w:val="none" w:sz="0" w:space="0" w:color="auto"/>
                    <w:right w:val="none" w:sz="0" w:space="0" w:color="auto"/>
                  </w:divBdr>
                  <w:divsChild>
                    <w:div w:id="12942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4914">
          <w:marLeft w:val="0"/>
          <w:marRight w:val="0"/>
          <w:marTop w:val="450"/>
          <w:marBottom w:val="0"/>
          <w:divBdr>
            <w:top w:val="none" w:sz="0" w:space="0" w:color="auto"/>
            <w:left w:val="none" w:sz="0" w:space="0" w:color="auto"/>
            <w:bottom w:val="none" w:sz="0" w:space="0" w:color="auto"/>
            <w:right w:val="none" w:sz="0" w:space="0" w:color="auto"/>
          </w:divBdr>
          <w:divsChild>
            <w:div w:id="1333295044">
              <w:marLeft w:val="0"/>
              <w:marRight w:val="0"/>
              <w:marTop w:val="0"/>
              <w:marBottom w:val="0"/>
              <w:divBdr>
                <w:top w:val="none" w:sz="0" w:space="0" w:color="auto"/>
                <w:left w:val="none" w:sz="0" w:space="0" w:color="auto"/>
                <w:bottom w:val="none" w:sz="0" w:space="0" w:color="auto"/>
                <w:right w:val="none" w:sz="0" w:space="0" w:color="auto"/>
              </w:divBdr>
              <w:divsChild>
                <w:div w:id="1652129446">
                  <w:marLeft w:val="0"/>
                  <w:marRight w:val="0"/>
                  <w:marTop w:val="0"/>
                  <w:marBottom w:val="0"/>
                  <w:divBdr>
                    <w:top w:val="none" w:sz="0" w:space="0" w:color="auto"/>
                    <w:left w:val="none" w:sz="0" w:space="0" w:color="auto"/>
                    <w:bottom w:val="none" w:sz="0" w:space="0" w:color="auto"/>
                    <w:right w:val="none" w:sz="0" w:space="0" w:color="auto"/>
                  </w:divBdr>
                  <w:divsChild>
                    <w:div w:id="18386852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883591875">
          <w:marLeft w:val="0"/>
          <w:marRight w:val="150"/>
          <w:marTop w:val="0"/>
          <w:marBottom w:val="0"/>
          <w:divBdr>
            <w:top w:val="none" w:sz="0" w:space="0" w:color="auto"/>
            <w:left w:val="none" w:sz="0" w:space="0" w:color="auto"/>
            <w:bottom w:val="none" w:sz="0" w:space="0" w:color="auto"/>
            <w:right w:val="none" w:sz="0" w:space="0" w:color="auto"/>
          </w:divBdr>
          <w:divsChild>
            <w:div w:id="17421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06887">
      <w:bodyDiv w:val="1"/>
      <w:marLeft w:val="0"/>
      <w:marRight w:val="0"/>
      <w:marTop w:val="0"/>
      <w:marBottom w:val="0"/>
      <w:divBdr>
        <w:top w:val="none" w:sz="0" w:space="0" w:color="auto"/>
        <w:left w:val="none" w:sz="0" w:space="0" w:color="auto"/>
        <w:bottom w:val="none" w:sz="0" w:space="0" w:color="auto"/>
        <w:right w:val="none" w:sz="0" w:space="0" w:color="auto"/>
      </w:divBdr>
    </w:div>
    <w:div w:id="772169528">
      <w:bodyDiv w:val="1"/>
      <w:marLeft w:val="0"/>
      <w:marRight w:val="0"/>
      <w:marTop w:val="0"/>
      <w:marBottom w:val="0"/>
      <w:divBdr>
        <w:top w:val="none" w:sz="0" w:space="0" w:color="auto"/>
        <w:left w:val="none" w:sz="0" w:space="0" w:color="auto"/>
        <w:bottom w:val="none" w:sz="0" w:space="0" w:color="auto"/>
        <w:right w:val="none" w:sz="0" w:space="0" w:color="auto"/>
      </w:divBdr>
    </w:div>
    <w:div w:id="1374426744">
      <w:bodyDiv w:val="1"/>
      <w:marLeft w:val="0"/>
      <w:marRight w:val="0"/>
      <w:marTop w:val="0"/>
      <w:marBottom w:val="0"/>
      <w:divBdr>
        <w:top w:val="none" w:sz="0" w:space="0" w:color="auto"/>
        <w:left w:val="none" w:sz="0" w:space="0" w:color="auto"/>
        <w:bottom w:val="none" w:sz="0" w:space="0" w:color="auto"/>
        <w:right w:val="none" w:sz="0" w:space="0" w:color="auto"/>
      </w:divBdr>
    </w:div>
    <w:div w:id="1689022332">
      <w:bodyDiv w:val="1"/>
      <w:marLeft w:val="0"/>
      <w:marRight w:val="0"/>
      <w:marTop w:val="0"/>
      <w:marBottom w:val="0"/>
      <w:divBdr>
        <w:top w:val="none" w:sz="0" w:space="0" w:color="auto"/>
        <w:left w:val="none" w:sz="0" w:space="0" w:color="auto"/>
        <w:bottom w:val="none" w:sz="0" w:space="0" w:color="auto"/>
        <w:right w:val="none" w:sz="0" w:space="0" w:color="auto"/>
      </w:divBdr>
    </w:div>
    <w:div w:id="1766071170">
      <w:bodyDiv w:val="1"/>
      <w:marLeft w:val="0"/>
      <w:marRight w:val="0"/>
      <w:marTop w:val="0"/>
      <w:marBottom w:val="0"/>
      <w:divBdr>
        <w:top w:val="none" w:sz="0" w:space="0" w:color="auto"/>
        <w:left w:val="none" w:sz="0" w:space="0" w:color="auto"/>
        <w:bottom w:val="none" w:sz="0" w:space="0" w:color="auto"/>
        <w:right w:val="none" w:sz="0" w:space="0" w:color="auto"/>
      </w:divBdr>
    </w:div>
    <w:div w:id="2070806810">
      <w:bodyDiv w:val="1"/>
      <w:marLeft w:val="0"/>
      <w:marRight w:val="0"/>
      <w:marTop w:val="0"/>
      <w:marBottom w:val="0"/>
      <w:divBdr>
        <w:top w:val="none" w:sz="0" w:space="0" w:color="auto"/>
        <w:left w:val="none" w:sz="0" w:space="0" w:color="auto"/>
        <w:bottom w:val="none" w:sz="0" w:space="0" w:color="auto"/>
        <w:right w:val="none" w:sz="0" w:space="0" w:color="auto"/>
      </w:divBdr>
      <w:divsChild>
        <w:div w:id="1020280587">
          <w:marLeft w:val="0"/>
          <w:marRight w:val="0"/>
          <w:marTop w:val="0"/>
          <w:marBottom w:val="0"/>
          <w:divBdr>
            <w:top w:val="none" w:sz="0" w:space="0" w:color="auto"/>
            <w:left w:val="none" w:sz="0" w:space="0" w:color="auto"/>
            <w:bottom w:val="none" w:sz="0" w:space="0" w:color="auto"/>
            <w:right w:val="none" w:sz="0" w:space="0" w:color="auto"/>
          </w:divBdr>
          <w:divsChild>
            <w:div w:id="40444321">
              <w:marLeft w:val="0"/>
              <w:marRight w:val="0"/>
              <w:marTop w:val="0"/>
              <w:marBottom w:val="0"/>
              <w:divBdr>
                <w:top w:val="none" w:sz="0" w:space="0" w:color="auto"/>
                <w:left w:val="none" w:sz="0" w:space="0" w:color="auto"/>
                <w:bottom w:val="none" w:sz="0" w:space="0" w:color="auto"/>
                <w:right w:val="none" w:sz="0" w:space="0" w:color="auto"/>
              </w:divBdr>
              <w:divsChild>
                <w:div w:id="1356884789">
                  <w:marLeft w:val="0"/>
                  <w:marRight w:val="0"/>
                  <w:marTop w:val="0"/>
                  <w:marBottom w:val="0"/>
                  <w:divBdr>
                    <w:top w:val="none" w:sz="0" w:space="0" w:color="auto"/>
                    <w:left w:val="none" w:sz="0" w:space="0" w:color="auto"/>
                    <w:bottom w:val="none" w:sz="0" w:space="0" w:color="auto"/>
                    <w:right w:val="none" w:sz="0" w:space="0" w:color="auto"/>
                  </w:divBdr>
                  <w:divsChild>
                    <w:div w:id="106776797">
                      <w:marLeft w:val="0"/>
                      <w:marRight w:val="0"/>
                      <w:marTop w:val="0"/>
                      <w:marBottom w:val="0"/>
                      <w:divBdr>
                        <w:top w:val="none" w:sz="0" w:space="0" w:color="auto"/>
                        <w:left w:val="none" w:sz="0" w:space="0" w:color="auto"/>
                        <w:bottom w:val="none" w:sz="0" w:space="0" w:color="auto"/>
                        <w:right w:val="none" w:sz="0" w:space="0" w:color="auto"/>
                      </w:divBdr>
                      <w:divsChild>
                        <w:div w:id="790636367">
                          <w:marLeft w:val="0"/>
                          <w:marRight w:val="0"/>
                          <w:marTop w:val="0"/>
                          <w:marBottom w:val="0"/>
                          <w:divBdr>
                            <w:top w:val="none" w:sz="0" w:space="0" w:color="auto"/>
                            <w:left w:val="none" w:sz="0" w:space="0" w:color="auto"/>
                            <w:bottom w:val="none" w:sz="0" w:space="0" w:color="auto"/>
                            <w:right w:val="none" w:sz="0" w:space="0" w:color="auto"/>
                          </w:divBdr>
                          <w:divsChild>
                            <w:div w:id="7956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721350">
          <w:marLeft w:val="0"/>
          <w:marRight w:val="150"/>
          <w:marTop w:val="0"/>
          <w:marBottom w:val="0"/>
          <w:divBdr>
            <w:top w:val="none" w:sz="0" w:space="0" w:color="auto"/>
            <w:left w:val="none" w:sz="0" w:space="0" w:color="auto"/>
            <w:bottom w:val="none" w:sz="0" w:space="0" w:color="auto"/>
            <w:right w:val="none" w:sz="0" w:space="0" w:color="auto"/>
          </w:divBdr>
          <w:divsChild>
            <w:div w:id="662658066">
              <w:marLeft w:val="0"/>
              <w:marRight w:val="0"/>
              <w:marTop w:val="0"/>
              <w:marBottom w:val="0"/>
              <w:divBdr>
                <w:top w:val="none" w:sz="0" w:space="0" w:color="auto"/>
                <w:left w:val="none" w:sz="0" w:space="0" w:color="auto"/>
                <w:bottom w:val="none" w:sz="0" w:space="0" w:color="auto"/>
                <w:right w:val="none" w:sz="0" w:space="0" w:color="auto"/>
              </w:divBdr>
            </w:div>
          </w:divsChild>
        </w:div>
        <w:div w:id="1284920001">
          <w:marLeft w:val="0"/>
          <w:marRight w:val="0"/>
          <w:marTop w:val="0"/>
          <w:marBottom w:val="0"/>
          <w:divBdr>
            <w:top w:val="none" w:sz="0" w:space="0" w:color="auto"/>
            <w:left w:val="none" w:sz="0" w:space="0" w:color="auto"/>
            <w:bottom w:val="none" w:sz="0" w:space="0" w:color="auto"/>
            <w:right w:val="none" w:sz="0" w:space="0" w:color="auto"/>
          </w:divBdr>
          <w:divsChild>
            <w:div w:id="1799572133">
              <w:marLeft w:val="0"/>
              <w:marRight w:val="0"/>
              <w:marTop w:val="0"/>
              <w:marBottom w:val="0"/>
              <w:divBdr>
                <w:top w:val="none" w:sz="0" w:space="0" w:color="auto"/>
                <w:left w:val="none" w:sz="0" w:space="0" w:color="auto"/>
                <w:bottom w:val="none" w:sz="0" w:space="0" w:color="auto"/>
                <w:right w:val="none" w:sz="0" w:space="0" w:color="auto"/>
              </w:divBdr>
            </w:div>
          </w:divsChild>
        </w:div>
        <w:div w:id="1947225832">
          <w:marLeft w:val="0"/>
          <w:marRight w:val="150"/>
          <w:marTop w:val="0"/>
          <w:marBottom w:val="0"/>
          <w:divBdr>
            <w:top w:val="none" w:sz="0" w:space="0" w:color="auto"/>
            <w:left w:val="none" w:sz="0" w:space="0" w:color="auto"/>
            <w:bottom w:val="none" w:sz="0" w:space="0" w:color="auto"/>
            <w:right w:val="none" w:sz="0" w:space="0" w:color="auto"/>
          </w:divBdr>
          <w:divsChild>
            <w:div w:id="1158497561">
              <w:marLeft w:val="0"/>
              <w:marRight w:val="0"/>
              <w:marTop w:val="0"/>
              <w:marBottom w:val="0"/>
              <w:divBdr>
                <w:top w:val="none" w:sz="0" w:space="0" w:color="auto"/>
                <w:left w:val="none" w:sz="0" w:space="0" w:color="auto"/>
                <w:bottom w:val="none" w:sz="0" w:space="0" w:color="auto"/>
                <w:right w:val="none" w:sz="0" w:space="0" w:color="auto"/>
              </w:divBdr>
              <w:divsChild>
                <w:div w:id="988364859">
                  <w:marLeft w:val="0"/>
                  <w:marRight w:val="0"/>
                  <w:marTop w:val="0"/>
                  <w:marBottom w:val="0"/>
                  <w:divBdr>
                    <w:top w:val="none" w:sz="0" w:space="0" w:color="auto"/>
                    <w:left w:val="none" w:sz="0" w:space="0" w:color="auto"/>
                    <w:bottom w:val="none" w:sz="0" w:space="0" w:color="auto"/>
                    <w:right w:val="none" w:sz="0" w:space="0" w:color="auto"/>
                  </w:divBdr>
                  <w:divsChild>
                    <w:div w:id="17262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6121">
          <w:marLeft w:val="0"/>
          <w:marRight w:val="0"/>
          <w:marTop w:val="450"/>
          <w:marBottom w:val="0"/>
          <w:divBdr>
            <w:top w:val="none" w:sz="0" w:space="0" w:color="auto"/>
            <w:left w:val="none" w:sz="0" w:space="0" w:color="auto"/>
            <w:bottom w:val="none" w:sz="0" w:space="0" w:color="auto"/>
            <w:right w:val="none" w:sz="0" w:space="0" w:color="auto"/>
          </w:divBdr>
          <w:divsChild>
            <w:div w:id="1634020688">
              <w:marLeft w:val="0"/>
              <w:marRight w:val="0"/>
              <w:marTop w:val="0"/>
              <w:marBottom w:val="0"/>
              <w:divBdr>
                <w:top w:val="none" w:sz="0" w:space="0" w:color="auto"/>
                <w:left w:val="none" w:sz="0" w:space="0" w:color="auto"/>
                <w:bottom w:val="none" w:sz="0" w:space="0" w:color="auto"/>
                <w:right w:val="none" w:sz="0" w:space="0" w:color="auto"/>
              </w:divBdr>
              <w:divsChild>
                <w:div w:id="2110421463">
                  <w:marLeft w:val="0"/>
                  <w:marRight w:val="0"/>
                  <w:marTop w:val="0"/>
                  <w:marBottom w:val="0"/>
                  <w:divBdr>
                    <w:top w:val="none" w:sz="0" w:space="0" w:color="auto"/>
                    <w:left w:val="none" w:sz="0" w:space="0" w:color="auto"/>
                    <w:bottom w:val="none" w:sz="0" w:space="0" w:color="auto"/>
                    <w:right w:val="none" w:sz="0" w:space="0" w:color="auto"/>
                  </w:divBdr>
                  <w:divsChild>
                    <w:div w:id="2092662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tent.time.com/time/magazine/article/0,9171,812138-1,00.html"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yucatanliving.com/culture/mexico-sweet-mexico.ht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mayaproject.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Globalization" TargetMode="External"/><Relationship Id="rId5" Type="http://schemas.openxmlformats.org/officeDocument/2006/relationships/settings" Target="settings.xml"/><Relationship Id="rId15" Type="http://schemas.openxmlformats.org/officeDocument/2006/relationships/hyperlink" Target="http://www.therecord.com/living-story/2618264-mexico-facing-a-diabetes-disaster-as-obesity-levels-soar/" TargetMode="External"/><Relationship Id="rId23" Type="http://schemas.openxmlformats.org/officeDocument/2006/relationships/theme" Target="theme/theme1.xml"/><Relationship Id="rId10" Type="http://schemas.openxmlformats.org/officeDocument/2006/relationships/hyperlink" Target="mailto:b.a.bogin@lboro.ac.uk" TargetMode="External"/><Relationship Id="rId19" Type="http://schemas.openxmlformats.org/officeDocument/2006/relationships/hyperlink" Target="http://www.bhfactive.org.uk/userfiles/Documents/whatissedentarybehaviour.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atino.foxnews.com/latino/health/2011/09/06/mexico-leads-world-in-consumption-sugary-drinks-study-say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CEE66-5F4A-4B1D-B180-44312969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25817</Words>
  <Characters>147162</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172634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cp:lastModifiedBy>Lauren Maitland</cp:lastModifiedBy>
  <cp:revision>2</cp:revision>
  <dcterms:created xsi:type="dcterms:W3CDTF">2014-03-18T10:24:00Z</dcterms:created>
  <dcterms:modified xsi:type="dcterms:W3CDTF">2014-03-18T10:24:00Z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b.a.bogin@lboro.ac.uk@www.mendeley.com</vt:lpwstr>
  </property>
  <property fmtid="{D5CDD505-2E9C-101B-9397-08002B2CF9AE}" pid="4" name="Mendeley Citation Style_1">
    <vt:lpwstr>http://www.zotero.org/styles/american-journal-of-physical-anthropology</vt:lpwstr>
  </property>
  <property fmtid="{D5CDD505-2E9C-101B-9397-08002B2CF9AE}" pid="5" name="Mendeley Recent Style Id 0_1">
    <vt:lpwstr>http://www.zotero.org/styles/american-journal-of-physical-anthropology</vt:lpwstr>
  </property>
  <property fmtid="{D5CDD505-2E9C-101B-9397-08002B2CF9AE}" pid="6" name="Mendeley Recent Style Name 0_1">
    <vt:lpwstr>American Journal of Physical Anthropology</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 (AMA)</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(author-date)</vt:lpwstr>
  </property>
  <property fmtid="{D5CDD505-2E9C-101B-9397-08002B2CF9AE}" pid="17" name="Mendeley Recent Style Id 6_1">
    <vt:lpwstr>http://www.zotero.org/styles/gerontology</vt:lpwstr>
  </property>
  <property fmtid="{D5CDD505-2E9C-101B-9397-08002B2CF9AE}" pid="18" name="Mendeley Recent Style Name 6_1">
    <vt:lpwstr>Gerontology</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http://www.zotero.org/styles/journal-of-gerontological-nursing</vt:lpwstr>
  </property>
  <property fmtid="{D5CDD505-2E9C-101B-9397-08002B2CF9AE}" pid="22" name="Mendeley Recent Style Name 8_1">
    <vt:lpwstr>Journal of Gerontological Nursing</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