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EF4" w:rsidRPr="009E067B" w:rsidRDefault="00396EF4" w:rsidP="00396EF4">
      <w:pPr>
        <w:pStyle w:val="Heading1"/>
        <w:spacing w:before="0" w:after="240"/>
        <w:rPr>
          <w:rFonts w:ascii="Garamond" w:hAnsi="Garamond"/>
          <w:sz w:val="22"/>
          <w:szCs w:val="22"/>
          <w:lang w:val="en-US"/>
        </w:rPr>
      </w:pPr>
    </w:p>
    <w:p w:rsidR="00396EF4" w:rsidRDefault="00396EF4" w:rsidP="00396EF4">
      <w:pPr>
        <w:pStyle w:val="Heading1"/>
        <w:spacing w:before="0" w:after="240"/>
        <w:jc w:val="center"/>
      </w:pPr>
      <w:r>
        <w:rPr>
          <w:rFonts w:ascii="Garamond" w:hAnsi="Garamond"/>
          <w:noProof/>
          <w:sz w:val="22"/>
          <w:szCs w:val="22"/>
        </w:rPr>
        <w:drawing>
          <wp:inline distT="0" distB="0" distL="0" distR="0" wp14:anchorId="09D81C3A" wp14:editId="42BF9617">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396EF4" w:rsidRDefault="00396EF4" w:rsidP="00396EF4">
      <w:pPr>
        <w:pStyle w:val="Heading1"/>
        <w:spacing w:before="0" w:after="240"/>
        <w:jc w:val="center"/>
      </w:pPr>
      <w:r>
        <w:rPr>
          <w:rFonts w:ascii="Garamond" w:hAnsi="Garamond"/>
          <w:noProof/>
          <w:sz w:val="22"/>
          <w:szCs w:val="22"/>
        </w:rPr>
        <w:drawing>
          <wp:inline distT="0" distB="0" distL="0" distR="0" wp14:anchorId="4AEDD2F6" wp14:editId="20C302B5">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396EF4" w:rsidRDefault="00396EF4" w:rsidP="00396EF4">
      <w:pPr>
        <w:spacing w:after="240"/>
        <w:jc w:val="center"/>
        <w:rPr>
          <w:rFonts w:ascii="Trajan Pro" w:hAnsi="Trajan Pro"/>
          <w:smallCaps/>
        </w:rPr>
      </w:pPr>
      <w:r>
        <w:rPr>
          <w:rFonts w:ascii="Trajan Pro" w:hAnsi="Trajan Pro"/>
          <w:smallCaps/>
        </w:rPr>
        <w:br/>
      </w:r>
      <w:r>
        <w:rPr>
          <w:rFonts w:ascii="Trajan Pro" w:hAnsi="Trajan Pro"/>
          <w:smallCaps/>
        </w:rPr>
        <w:t>01 June</w:t>
      </w:r>
      <w:r w:rsidRPr="00BA4139">
        <w:rPr>
          <w:rFonts w:ascii="Trajan Pro" w:hAnsi="Trajan Pro"/>
          <w:smallCaps/>
        </w:rPr>
        <w:t xml:space="preserve"> 2016</w:t>
      </w:r>
    </w:p>
    <w:p w:rsidR="00396EF4" w:rsidRDefault="00396EF4" w:rsidP="00396EF4">
      <w:pPr>
        <w:spacing w:after="240"/>
        <w:jc w:val="center"/>
        <w:rPr>
          <w:rFonts w:ascii="Trajan Pro" w:hAnsi="Trajan Pro"/>
          <w:b/>
          <w:sz w:val="32"/>
          <w:szCs w:val="32"/>
        </w:rPr>
      </w:pPr>
      <w:r>
        <w:rPr>
          <w:rFonts w:ascii="Trajan Pro" w:hAnsi="Trajan Pro"/>
          <w:b/>
          <w:sz w:val="32"/>
          <w:szCs w:val="32"/>
        </w:rPr>
        <w:t>London’s Great Fire and its Aftermath</w:t>
      </w:r>
    </w:p>
    <w:p w:rsidR="00396EF4" w:rsidRPr="00396EF4" w:rsidRDefault="00396EF4" w:rsidP="00396EF4">
      <w:pPr>
        <w:spacing w:after="240"/>
        <w:jc w:val="center"/>
        <w:rPr>
          <w:rFonts w:ascii="Trajan Pro" w:hAnsi="Trajan Pro"/>
          <w:b/>
          <w:sz w:val="32"/>
          <w:szCs w:val="32"/>
        </w:rPr>
      </w:pPr>
      <w:r>
        <w:rPr>
          <w:rFonts w:ascii="Trajan Pro" w:hAnsi="Trajan Pro"/>
          <w:smallCaps/>
          <w:sz w:val="28"/>
        </w:rPr>
        <w:t>Dr Stephen Porter</w:t>
      </w:r>
    </w:p>
    <w:p w:rsidR="00396EF4" w:rsidRPr="005810C9" w:rsidRDefault="00396EF4" w:rsidP="005810C9">
      <w:pPr>
        <w:tabs>
          <w:tab w:val="left" w:pos="-720"/>
        </w:tabs>
        <w:suppressAutoHyphens/>
        <w:spacing w:line="360" w:lineRule="auto"/>
        <w:jc w:val="center"/>
        <w:rPr>
          <w:rFonts w:ascii="Trajan Pro" w:hAnsi="Trajan Pro"/>
          <w:sz w:val="28"/>
        </w:rPr>
      </w:pPr>
    </w:p>
    <w:p w:rsidR="005810C9" w:rsidRDefault="005810C9" w:rsidP="005810C9">
      <w:pPr>
        <w:tabs>
          <w:tab w:val="left" w:pos="-720"/>
        </w:tabs>
        <w:suppressAutoHyphens/>
        <w:jc w:val="both"/>
        <w:rPr>
          <w:rFonts w:ascii="Garamond" w:hAnsi="Garamond"/>
        </w:rPr>
      </w:pPr>
      <w:r w:rsidRPr="005810C9">
        <w:rPr>
          <w:rFonts w:ascii="Garamond" w:hAnsi="Garamond"/>
        </w:rPr>
        <w:t>The Great Fire of London began innocuously enough as a fire at the premises of the baker Thomas Farriner in Pudding Lane during the early hours of Sunday 2 September 1666. Farriner was understandably reluctant to bear the responsibility for so great a disaster and insisted that it was not because of his negligence. He claimed that the fire in the oven of his bakehouse had been extinguished at about ten o’clock the previous evening, only one grate had any smouldering embers at midnight, and they had been raked over, and the doors and windows were closed to prevent draughts through the buildings. But it was his practice to place a stock of fuel next to the oven, so that it should be dry enough to re-light the fire in the morning, and according to one account it was actually in the oven. Farriner’s fire should have been just one of those blazes which occ</w:t>
      </w:r>
      <w:bookmarkStart w:id="0" w:name="_GoBack"/>
      <w:bookmarkEnd w:id="0"/>
      <w:r w:rsidRPr="005810C9">
        <w:rPr>
          <w:rFonts w:ascii="Garamond" w:hAnsi="Garamond"/>
        </w:rPr>
        <w:t>urred from time to time in any community, where fires were lit for warmth, cooking, in furnaces, ovens and stoves, with candles for light, and fire carried from place to place to avoid the need to kindle a new one. The risk was greater in an urban environment because the density of buildings made it difficult to isolate a fire. But with a prompt and well-organised response fires were generally put out without great loss and the flames at Farriner’s should have been extinguished quite quickly.</w:t>
      </w:r>
    </w:p>
    <w:p w:rsidR="005810C9" w:rsidRDefault="005810C9"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All urban communities took steps to minimize the risks of destructive blazes, through control of the building materials, especially prohibiting thatched roofs, which was enforced in London from the early thirteenth century. At the end of the sixteenth century John Stow attributed the absence of large-scale fires in the City to that policy. The bulk of the houses were timber-framed, with lath-and-plaster infilling, standing several storeys high in the main streets, with the upper stories jettied forwards. But there was much shoddy building in the alleys and courts, where one-third of the City’s population of upwards of 400,000 lived. Timber building was in decline as brick became the fashionable material; its use was stipulated in building regulations issued by successive governments from 1580, which also imposed minimum standards of construction and prohibited the subdivision of houses. Those issued in 1620 addressed the use of timber and the congestion of buildings and specified that the upper storeys should not project outwards above the street. A proclamation in 1625 stated the policy for London of ‘reducing the houses and dwellings . . . to a more orderlie and uniforme manner of building with brick for more ornament strength and safety and contynuance’ and an Act of Parliament of 1657, that was designed to perk up the policy, required that new buildings should be ‘built with Brick or Stone, or both, and straight up, without butting or jetting out into the Street, Lane or place’. This was aimed at producing uniform frontages, as well as being designed to save timber, with the further objective of ‘the prevention of the burning and firing of Houses’.</w:t>
      </w:r>
    </w:p>
    <w:p w:rsidR="005810C9" w:rsidRDefault="005810C9"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 xml:space="preserve">For the same reason, the parish officers’ duties included enquiring ‘if any Baker or Brewer, bake or brew with Straw or any other fewel, which may indanger fyring’, and investigating the premises of ‘such who use any fire-presses . . . for pressing, or dressing of netherstocks [stockings], Wollen Clothes, or other things . . . all Armorers, and other Artificers, using to work in Metals, which have or use any . . . places dangerous for fire’. Fire-fighting equipment was kept by the officers of the local units of wards and parishes and the corporation required that ‘every parish should have hooks, ladders, buckets, and scoops, in readiness, upon any occasion’. The first fire-engines in England were made in the 1620s and by the early 1660s they had been widely adopted, as their design and effectiveness were steadily improved. Some were small and robust enough to be carried </w:t>
      </w:r>
      <w:r w:rsidRPr="005810C9">
        <w:rPr>
          <w:rFonts w:ascii="Garamond" w:hAnsi="Garamond"/>
        </w:rPr>
        <w:lastRenderedPageBreak/>
        <w:t>upstairs, as were hand-held squirts.</w:t>
      </w:r>
    </w:p>
    <w:p w:rsidR="005810C9" w:rsidRDefault="005810C9"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Perhaps the greatest incentive in the prevention of fires was self-interest, for however assiduous a household was in taking care with fire and flammable materials, a careless neighbour could bring disaster, the loss of buildings and goods and the suspension of business until new premises could be found. There was no fire insurance; charitable help from collections was typically both generous and inadequate, and took time to arrive. And so in an urban community everyone should have been careful and watchful, reporting dangerous practices.</w:t>
      </w:r>
    </w:p>
    <w:p w:rsidR="005810C9" w:rsidRDefault="005810C9"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Despite all of that, the blaze in Farriner’s bakehouse was not quenched and he and his family fled the premises as the flames spread through the buildings. Effective fire-fighting depends on the speed and decisiveness of the response as soon as the alarm is raised, before the fire can develop. In that respect, the conditions in early September 1666 were against the fire-fighters. It had been a hot, dry summer across much of Europe and in England both July and August were warmer than any of the corresponding months during the previous seven years, literally since records began. Both 1665 and 1666 were also unusually dry years and the parched summer of 1665 was succeeded by a long drought in south-east England that began in November and continued until September 1666, and over the days when the fire blazed there was a strong gale blowing from the east, whipping in across the estuary, which fanned the flames. At that time of the year stocks of provisions and fuel were at their maximum, laid in ready for the winter.</w:t>
      </w:r>
    </w:p>
    <w:p w:rsidR="005810C9" w:rsidRDefault="005810C9"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Added to the problems caused by the high wind was the fact that this part of the City was a difficult one in which to deal with a major fire. Pudding Lane ran northwards from Thames Street to East Cheap in an area of narrow streets and alleys ‘close built with wooden pitched houses’. Many of the occupiers were tradesmen dealing in flammable goods relating to shipping and sea-borne commerce. The excavation of a cellar in Pudding Lane has shown that barrels of pitch, a caulking agent, were stored there and that the building above was timber-framed with a tiled roof. Those premises were typical of the Thames Street area, which contained ‘old paper buildings and the most combustible matter of Tarr, Pitch, Hemp, Rosen, and Flax’, while the nearby wharves were stacked with timber and coal.</w:t>
      </w:r>
    </w:p>
    <w:p w:rsidR="005810C9" w:rsidRDefault="005810C9"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What of the response to the alarm? A witness later claimed that the fire did not spread from Farriner’s house to the adjoining properties for an hour. Whether that was an exaggeration or not, a next-door neighbour was able to remove his goods before his house caught fire. But the flames gradually took hold of the nearby premises and by three o’clock in the morning the fire was prominent enough for Samuel Pepys’s servants in Seething Lane, over a quarter of a mile away, to be aware of it. Jane Birch, the maid, called her master, telling him that there was ‘a great fire’ in the City, but after watching for some time and judging where the fire was, and that is was ‘far enough off’, Pepys went back to bed. Many others must have reacted in the same way, because fewer people needed to be up and about as early on a Sunday morning as on a weekday.</w:t>
      </w:r>
    </w:p>
    <w:p w:rsidR="005810C9" w:rsidRDefault="005810C9"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After the alarm had been raised - apparently with ‘a great noise of drums’ - the Lord Mayor, Sir Thomas Bludworth, was called to the scene from his house in Aldersgate, and, having assessed the situation, was said to have remarked that ‘a woman might piss it out’. Whether he did say that or not, it was held against him thereafter, as was the allegation that he refused to order the demolition of nearby properties to create a fire-break – the common practice in such an emergency - reportedly asking ‘When the houses have been brought down, who shall pay the charge of rebuilding them?’. He and his officers clearly did not think this fire to be an unduly dangerous one, but they made the wrong call; a later judgement was that by the time that fifteen or sixteen houses had caught fire, the chance of containing the blaze in the strong wind had already passed.</w:t>
      </w:r>
    </w:p>
    <w:p w:rsidR="00A4108B" w:rsidRDefault="00A4108B"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 xml:space="preserve">That wind drove the flames through the buildings, creating heat, smoke, ash and flying debris which made fire-fighting almost impossibly difficult. The fire-fighters’ problems were exacerbated by the crowded streets as the citizens moved their possessions to safety, on foot, by cart, by whatever means they could find. Initially, those whose houses were threatened moved their goods relatively short distances, only to realise fairly quickly that they had to take them further away. As the area threatened with destruction grew, so did the number of people whose premises were endangered. The Thames was a possible escape route for those living close to the waterfront and Pepys described it as full of lighters and boats loaded with their belongings, while other goods were floating in the water. John Evelyn saw the river ‘coverd with goods floating, all the barges &amp; boates laden </w:t>
      </w:r>
      <w:r w:rsidRPr="005810C9">
        <w:rPr>
          <w:rFonts w:ascii="Garamond" w:hAnsi="Garamond"/>
        </w:rPr>
        <w:lastRenderedPageBreak/>
        <w:t>with what some had time &amp; courage to save’. The flames mostly drove westwards, but also made progress northwards and, more slowly because against the wind, eastwards, towards the Tower, so that houses on Tower Hill were demolished as a precaution. The king ordered the establishment of eight fire-posts around the conflagration from which the fire-fighting would be co-ordinated, and he put the Duke of York in overall control. But the fire-post in Coleman Street had to be abandoned as the flames threatened. There was no stopping the fires with the means and manpower available, and those who lived within the threatened area would surely have been more concerned about their house and possessions than with fire-fighting. Only when the wind dropped, on the Wednesday, could the fires be brought under control and then quenched.</w:t>
      </w:r>
    </w:p>
    <w:p w:rsidR="00A4108B" w:rsidRDefault="00A4108B"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The fire destroyed property in an area of 436¾ acres, shown by Wenceslaus Hollar in an adaptation of his earlier plan, using a detailed survey of the burnt area. The flames destroyed St Paul’s cathedral, eighty-seven churches and six consecrated chapels, fifty-two halls of the livery companies, the custom house, the Royal Exchange, Blackwell Hall, Newgate prison, Bridewell, the compters at Wood Street and Poultry and the Sessions House; the guildhall was gutted but was repairable. The fire had not reached the Strand, Westminster, the northern and eastern suburbs, or Southwark, and it was estimated that the 13,200 houses destroyed were ‘but a fifth part of the whole’.</w:t>
      </w:r>
    </w:p>
    <w:p w:rsidR="00A4108B" w:rsidRDefault="00A4108B"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Farriner’s maid was one of at least six people who died during the fire; there may have been a few more, but there were no contemporary claims that dozens of people were killed. The number of houses destroyed suggests that at least 65,000 people were made homeless, but almost 80,000 may be closer to the truth, at a time when Norwich, the next largest English city, contained fewer than 30,000 inhabitants. The losses for houses and contents can be put at almost £8 million, while a detailed estimate made in 1720 which included the cost of reconstructing the public buildings and erecting the Monument as a memorial to the disaster produced a figure of £10,788,500. (The government’s revenue after the Restoration was set by Parliament at £1.25 million pounds a year.) Those who had lost their rental income from properties that had been destroyed included not only individuals, the livery companies and London charities, but also many in the provinces, who drew an income from properties in the city bequeathed to them by people who had gone to London and made good, and remembered their relatives and home communities in their wills. And so the fire had a far wider impact than just in the area that was gutted.</w:t>
      </w:r>
    </w:p>
    <w:p w:rsidR="00A4108B" w:rsidRDefault="00A4108B"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In the immediate aftermath of the fire most of those who had been made homeless settled briefly in the open areas around the city; they were ‘the people late of London, now of the fields’ who lived ‘Some under tents, others under miserable Hutts and Hovells, without a rag or any necessary utinsils, bed or board’. Yet all of them quickly found somewhere to stay, according to the Earl of Clarendon: ‘in four days, in all the fields about the town, which had seemed covered with those whose habitations were burned, and with the goods which they had saved, there was scarce a man to be seen’.</w:t>
      </w:r>
    </w:p>
    <w:p w:rsidR="00A4108B" w:rsidRDefault="00A4108B"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The Great Fire was blamed by some moralists on the sinfulness of Londoners, as the Great Plague in the previous year had been. The courtiers were said to have derived a certain smug satisfaction that the City, a potential political opponent, had been enfeebled by the fire. The returning royalists had blamed it not only for Charles I’s defeat in the Civil War, when it had resolutely supported Parliament, but more seriously for failing to intervene to prevent his execution in 1649. Some wags took a less earnest and non-political view and, because the fire began in Pudding Lane and ended at Pie Corner, on the fringe of Smithfield, they claimed that the overriding sin was gluttony. A figure of a fat boy was put up at Pie Corner, with the inscription on the tablet below: ‘This Boy is in Memmory Put up for the late FIRE of LONDON Occasioned by the Sin of Gluttony 1666’. A far more highly charged statement blaming the disaster on the Papists was set on the plinth of the Monument and not finally removed until 1830.</w:t>
      </w:r>
    </w:p>
    <w:p w:rsidR="00A4108B" w:rsidRDefault="00A4108B"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 xml:space="preserve">As well as such practical considerations as accommodation and the arrangement of new market places, almost immediately after the fire there was much optimism that London would emerge from the disaster as ‘the most noble city that can be’. That could be achieved through the architectural uniformity already aspired to in the legislation issued over the previous eighty-six years. To accomplish that, and to prevent over-hasty and shoddy rebuilding, regulations were issued in 1667, aimed at achieving such uniformity and preventing the return of cottages in the alleys and courts. Houses were classified according to their site, in four categories. The smallest </w:t>
      </w:r>
      <w:r w:rsidRPr="005810C9">
        <w:rPr>
          <w:rFonts w:ascii="Garamond" w:hAnsi="Garamond"/>
        </w:rPr>
        <w:lastRenderedPageBreak/>
        <w:t>ones, of two storeys and garrets, were those in ‘by-streets and lanes’, those of the second sort were of three storeys and garrets on the ‘streets and lanes of note’ and facing the river, those in the next category were one storey higher and they fronted the ‘high and principal streets’, while the biggest were ‘mansion houses for citizens and other persons of extraordinary quality’, not necessarily standing on the streets, but nevertheless also limited to four storeys. All houses had to conform to those categories and the desired appearance was furthered by a ruling that the roof lines within the first three sorts of houses should be uniform.</w:t>
      </w:r>
    </w:p>
    <w:p w:rsidR="00A4108B" w:rsidRDefault="00A4108B"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The regulations also contained detailed stipulations concerning the height of storeys, depths of cellars and thicknesses of the walls. Bow windows and other projections were prohibited, although houses fronting the high streets could be fitted with balconies no more than four feet deep. The earlier insistence on brick and stone was repeated, and control of materials was extended, by banning wood from the outsides of all buildings, except for window-frames, door-cases and cornices, and shop-fronts, which had to be of oak, which was relatively fire-resistant but also expensive.</w:t>
      </w:r>
    </w:p>
    <w:p w:rsidR="00A4108B" w:rsidRDefault="005810C9" w:rsidP="005810C9">
      <w:pPr>
        <w:tabs>
          <w:tab w:val="left" w:pos="-720"/>
        </w:tabs>
        <w:suppressAutoHyphens/>
        <w:jc w:val="both"/>
        <w:rPr>
          <w:rFonts w:ascii="Garamond" w:hAnsi="Garamond"/>
        </w:rPr>
      </w:pPr>
      <w:r w:rsidRPr="005810C9">
        <w:rPr>
          <w:rFonts w:ascii="Garamond" w:hAnsi="Garamond"/>
        </w:rPr>
        <w:t xml:space="preserve"> </w:t>
      </w:r>
    </w:p>
    <w:p w:rsidR="005810C9" w:rsidRPr="005810C9" w:rsidRDefault="005810C9" w:rsidP="005810C9">
      <w:pPr>
        <w:tabs>
          <w:tab w:val="left" w:pos="-720"/>
        </w:tabs>
        <w:suppressAutoHyphens/>
        <w:jc w:val="both"/>
        <w:rPr>
          <w:rFonts w:ascii="Garamond" w:hAnsi="Garamond"/>
        </w:rPr>
      </w:pPr>
      <w:r w:rsidRPr="005810C9">
        <w:rPr>
          <w:rFonts w:ascii="Garamond" w:hAnsi="Garamond"/>
        </w:rPr>
        <w:t>One major issue to be resolved was the responsibility for undertaking the rebuilding of a property. A blaze among the buildings at the northern end of London Bridge in 1633 wrecked about a third of the houses on the bridge itself and nearly eighty more in the parish of St Magnus the Martyr. Disputes over the liability for rebuilding led to long delays and the buildings on the bridge had not been reconstructed by 1666. The vacant sites in such a prominent position were visible evidence of the consequences of such wrangles. Although it should be said that the gap in the buildings at the north end of the bridge acted as a fire-break, so that the Great Fire did not reach Southwark, which was to experience its own great fire ten years later.</w:t>
      </w:r>
    </w:p>
    <w:p w:rsidR="00A4108B" w:rsidRDefault="005810C9" w:rsidP="005810C9">
      <w:pPr>
        <w:tabs>
          <w:tab w:val="left" w:pos="-720"/>
        </w:tabs>
        <w:suppressAutoHyphens/>
        <w:jc w:val="both"/>
        <w:rPr>
          <w:rFonts w:ascii="Garamond" w:hAnsi="Garamond"/>
        </w:rPr>
      </w:pPr>
      <w:r w:rsidRPr="005810C9">
        <w:rPr>
          <w:rFonts w:ascii="Garamond" w:hAnsi="Garamond"/>
        </w:rPr>
        <w:t xml:space="preserve"> </w:t>
      </w:r>
    </w:p>
    <w:p w:rsidR="005810C9" w:rsidRPr="005810C9" w:rsidRDefault="005810C9" w:rsidP="005810C9">
      <w:pPr>
        <w:tabs>
          <w:tab w:val="left" w:pos="-720"/>
        </w:tabs>
        <w:suppressAutoHyphens/>
        <w:jc w:val="both"/>
        <w:rPr>
          <w:rFonts w:ascii="Garamond" w:hAnsi="Garamond"/>
        </w:rPr>
      </w:pPr>
      <w:r w:rsidRPr="005810C9">
        <w:rPr>
          <w:rFonts w:ascii="Garamond" w:hAnsi="Garamond"/>
        </w:rPr>
        <w:t>While the fire was burning there was some wild talk of arsonists and fifth-columnists who would take advantage of the confusion and seize the city for the Dutch or French, with whom England was then at war. The French were the preferred arsonists because they were Catholics. Some people were arrested or roughly handled during the fire as suspects. It was in that atmosphere that Robert Hubert was arrested in Romford a few days later, after bragging that he had started the fire. He was the son of a watchmaker in Rouen, and had worked as a watchmaker there and in London. He confessed to the Justice of the Peace who examined him that he had started the conflagration by firing Farriner’s house. He was indicted at the Middlesex Sessions on 16 September and imprisoned in the White Lion prison in Southwark. After he was imprisoned he changed his story so that it agreed with what was known about the origin of the fire, which was surely being widely discussed; a boy who was just ten years old told Lord Lovelace how he and his family, abetted by a Dutchman, had started the blaze in Pudding Lane with fireballs. Nevertheless, attention was focused on Hubert. There was no convincing evidence against him, except that he was unerringly able to go to the site of Farriner’s premises among the ruins and describe the house’s appearance and the window into which he had pushed a lighted fireball of gunpowder, brimstone and other flammable material on the end of a pole. Familiarity with the building and the ability to find ruins which were understandably attracting much attention as the seat of the fire were scarcely convincing proof, while his various accounts were unsatisfactory and riddled with contradictions. Farriner, his son and daughter signed the true bill against Hubert, but they also maintained that there was no window in the place he described and that the fire had not started in that part of the buildings. Yet Hubert was convicted at the City Sessions in October on his own confession and was hanged at Tyburn. The mood of the time required that he should be a Catholic. He and his family were known to be Protestants, and so it was alleged that he had been converted while in prison by the Queen Mother’s confessor and had died as a Roman Catholic.</w:t>
      </w:r>
    </w:p>
    <w:p w:rsidR="00A4108B" w:rsidRDefault="00A4108B"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 xml:space="preserve">The obligation to maintain a property lay with the tenant, but who would invest in a new building when they would get the benefit only for the remaining years of their lease? The exception which was allowed was when a property had been damaged by a foreigner. After the fire the judges upheld existing opinion regarding leaseholders’ liability, but also concluded that they were not responsible in this case because the burning had been caused by an enemy, none other than Hubert, whose conviction was a convenient legal scapegoat for the fire, hence Pepys’s comment that it was an ‘excellent Salvo for the Tenants’. Hubert’s confession and conviction were indeed mightily convenient in the context of the preparations for rebuilding, yet were directly contrary to the government’s consistently held view that the fire had been an accident. Hubert’s death is a nasty story, even by the standards of the late seventeenth century. </w:t>
      </w:r>
    </w:p>
    <w:p w:rsidR="00A4108B" w:rsidRDefault="00A4108B" w:rsidP="005810C9">
      <w:pPr>
        <w:jc w:val="both"/>
        <w:rPr>
          <w:rFonts w:ascii="Garamond" w:hAnsi="Garamond"/>
        </w:rPr>
      </w:pPr>
    </w:p>
    <w:p w:rsidR="005810C9" w:rsidRPr="005810C9" w:rsidRDefault="005810C9" w:rsidP="005810C9">
      <w:pPr>
        <w:jc w:val="both"/>
        <w:rPr>
          <w:rFonts w:ascii="Garamond" w:hAnsi="Garamond"/>
        </w:rPr>
      </w:pPr>
      <w:r w:rsidRPr="005810C9">
        <w:rPr>
          <w:rFonts w:ascii="Garamond" w:hAnsi="Garamond"/>
        </w:rPr>
        <w:lastRenderedPageBreak/>
        <w:t>With the legal liability settled, landlords and tenants were able to agree terms for rebuilding, and a court was established to deal specifically with disputes relating to the destroyed property, avoiding the interminable delays in the equity courts. Such differences, the stringent regulations and the straight-jacket of the building types specified in the Act did not discourage progress. Most of the new houses were built by 1672 and the majority of the livery companies’ halls by the late 1670s. The Royal Exchange, the Custom House, Guildhall and other public buildings were also rebuilt within a short time and the Monument was finished in 1676. A second rebuilding Act, in 1670, provided for the construction of St Paul’s and fifty-one churches (thirty-one fewer than the number destroyed). Christopher Wren was given overall control and he designed the new churches, with assistance from Robert Hooke. All of them were in use by 1696, although some steeples and towers were added later. St Paul’s took far longer; begun in 1675, the first service was held in 1697, but the building was completed only in 1710.</w:t>
      </w:r>
    </w:p>
    <w:p w:rsidR="00A4108B" w:rsidRDefault="00A4108B"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 xml:space="preserve">The skyline formed by the churches and the great dome of St Paul’s was in marked contrast to that of the pre-fire City, but was appealing because of the very lack of uniformity in the towers and steeples. The appearance of the streets had also undergone a dramatic change. This new City was much admired, by Dr John Woodward, physician and antiquarian, in 1707, when he wrote that the Great Fire ‘however disastrous it might be to the then Inhabitants, had prov’d infinitely beneficial to their Posterity’; and by the historian John Strype, in 1720: ‘Divers Churches, the stately Guildhall, many Halls of Companies, and other Publick Edifices; all infinitely more Uniform, more Solid, and more Magnificent than before’. </w:t>
      </w:r>
    </w:p>
    <w:p w:rsidR="00A4108B" w:rsidRDefault="00A4108B"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Yet although the buildings were praised, the hoped-for uniformity along the street frontages had not been achieved and it was misleading to write that ‘Since the burning, all London is built uniformly, the streets broader, the houses all of one form and height.’ That was not the case, because small units of ownership, differences in decoration, balconies and doorways, and the stepped effect caused in streets built on an incline, had all prevented the creation of uniform frontages. The developer Nicholas Barbon wrote that a house’s appearance owed much to the trade of the master-builder responsible for it, whether he was a bricklayer, stone mason, glazier or carpenter. Variety in the appearance of the façades was produced by the differing finishes of the bricks; the regulations had not been specific enough to prevent such effects.</w:t>
      </w:r>
    </w:p>
    <w:p w:rsidR="00A4108B" w:rsidRDefault="00A4108B"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Economic practicality also explains why most of the alleys and courts were rebuilt, although the king’s proclamation of 13 September – just a week after the fire was extinguished - had planned to remove them. In his proposals for rebuilding Richard Newcourt had hoped to do away with the ‘multitude of bye-lanes, rooks and alleys, huddled up one on the neck of another’. They were rebuilt because affordable housing within the City was needed and that need took precedence over aesthetic judgements. But the regulations did successfully prevent the building of tenements in the back streets and courts.</w:t>
      </w:r>
    </w:p>
    <w:p w:rsidR="00A4108B" w:rsidRDefault="00A4108B"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At the other end of the social scale the wealthy merchants did not move away from the City after the fire, but built fine houses on enlarged sites. Yet despite the money and pride lavished upon them, such complexes were generally not up-to-date in stylistic terms, with the house built not on the street front but continuing the long-established practice in London of placing it at the rear of a courtyard, flanked by warehouses and offices.</w:t>
      </w:r>
    </w:p>
    <w:p w:rsidR="00A4108B" w:rsidRDefault="00A4108B"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The overall effect produced disappointment as well as praise. The architect Nicholas Hawksmoor was particularly severe, contrasting the ‘convenient regular well built Citty’ that might have risen from the ashes, with the reality, which consisted of ‘a Chaos of Dirty Rotten Sheds, allways Tumbling or takeing fire, with winding Crooked passages (Scarse practicable) Lakes of Mud and Rills of Stinking Mire Running through them’.</w:t>
      </w:r>
    </w:p>
    <w:p w:rsidR="00A4108B" w:rsidRDefault="005810C9" w:rsidP="005810C9">
      <w:pPr>
        <w:tabs>
          <w:tab w:val="left" w:pos="-720"/>
        </w:tabs>
        <w:suppressAutoHyphens/>
        <w:jc w:val="both"/>
        <w:rPr>
          <w:rFonts w:ascii="Garamond" w:hAnsi="Garamond"/>
        </w:rPr>
      </w:pPr>
      <w:r w:rsidRPr="005810C9">
        <w:rPr>
          <w:rFonts w:ascii="Garamond" w:hAnsi="Garamond"/>
        </w:rPr>
        <w:t xml:space="preserve"> </w:t>
      </w:r>
    </w:p>
    <w:p w:rsidR="005810C9" w:rsidRPr="005810C9" w:rsidRDefault="005810C9" w:rsidP="005810C9">
      <w:pPr>
        <w:tabs>
          <w:tab w:val="left" w:pos="-720"/>
        </w:tabs>
        <w:suppressAutoHyphens/>
        <w:jc w:val="both"/>
        <w:rPr>
          <w:rFonts w:ascii="Garamond" w:hAnsi="Garamond"/>
        </w:rPr>
      </w:pPr>
      <w:r w:rsidRPr="005810C9">
        <w:rPr>
          <w:rFonts w:ascii="Garamond" w:hAnsi="Garamond"/>
        </w:rPr>
        <w:t xml:space="preserve">Despite such complaints, the policy of using former street plans can be seen as well-judged and a success; and the most innovative of the regulations, the house-types laid down in the Rebuilding Act, far from proving an irksome restriction, were taken up by builders and erected in the areas newly developed during the capital’s expansion in the late seventeenth century. Landlords wishing to control the kind of building to be erected on their ground adopted that terminology of house-types, specifying the ‘rate’ of house to be built long before it was given formal expression in the Building Act of 1774. What London did first, other places followed, with rebuilding Acts obtained after fires in Northampton in 1675, Southwark in 1676, Warwick in 1694, Blandford Forum and Tiverton both in 1731, Wareham in 1765 and last and smallest of all, Chudleigh in Devon in 1807. </w:t>
      </w:r>
      <w:r w:rsidRPr="005810C9">
        <w:rPr>
          <w:rFonts w:ascii="Garamond" w:hAnsi="Garamond"/>
        </w:rPr>
        <w:lastRenderedPageBreak/>
        <w:t xml:space="preserve">And other towns mimicked London’s materials and styles when rebuilding after fires, following the growing fashion. </w:t>
      </w:r>
    </w:p>
    <w:p w:rsidR="00A4108B" w:rsidRDefault="005810C9" w:rsidP="005810C9">
      <w:pPr>
        <w:tabs>
          <w:tab w:val="left" w:pos="-720"/>
        </w:tabs>
        <w:suppressAutoHyphens/>
        <w:jc w:val="both"/>
        <w:rPr>
          <w:rFonts w:ascii="Garamond" w:hAnsi="Garamond"/>
        </w:rPr>
      </w:pPr>
      <w:r w:rsidRPr="005810C9">
        <w:rPr>
          <w:rFonts w:ascii="Garamond" w:hAnsi="Garamond"/>
        </w:rPr>
        <w:t xml:space="preserve"> </w:t>
      </w:r>
    </w:p>
    <w:p w:rsidR="005810C9" w:rsidRPr="005810C9" w:rsidRDefault="005810C9" w:rsidP="005810C9">
      <w:pPr>
        <w:tabs>
          <w:tab w:val="left" w:pos="-720"/>
        </w:tabs>
        <w:suppressAutoHyphens/>
        <w:jc w:val="both"/>
        <w:rPr>
          <w:rFonts w:ascii="Garamond" w:hAnsi="Garamond"/>
        </w:rPr>
      </w:pPr>
      <w:r w:rsidRPr="005810C9">
        <w:rPr>
          <w:rFonts w:ascii="Garamond" w:hAnsi="Garamond"/>
        </w:rPr>
        <w:t xml:space="preserve">Uniformity of appearance could only have come with large-scale changes of ownership and a rearrangement of sites, indeed with the implementation of the kind of ideas that were considered immediately after the fire but dismissed as impracticable. Half a dozen plans to radically re-design the street layout within the City were produced, aimed at creating a model renaissance city on a new layout, and the disappointment with the rebuilding came to centre on the failure to implement one of them, that of Christopher Wren. This train of criticism can be traced back to the 1730s and was furthered by the architect John Gwynn, who produced a version of the plan in 1749, claiming that it had been approved by Parliament and then ‘unhappily defeated by faction’. It was given added credibility in </w:t>
      </w:r>
      <w:r w:rsidRPr="005810C9">
        <w:rPr>
          <w:rFonts w:ascii="Garamond" w:hAnsi="Garamond"/>
          <w:i/>
        </w:rPr>
        <w:t>Parentalia</w:t>
      </w:r>
      <w:r w:rsidRPr="005810C9">
        <w:rPr>
          <w:rFonts w:ascii="Garamond" w:hAnsi="Garamond"/>
        </w:rPr>
        <w:t>, an account of Wren’s work written by his son, edited by his grandson Stephen Wren and published in 1750. Stephen Wren blamed the self-interest of the citizens, with their ‘obstinate Averseness . . . to alter their old Properties’ and he claimed that it had been shown at the time that it could have been carried through ‘without Loss to any Man, or Infringement of any Property’.</w:t>
      </w:r>
    </w:p>
    <w:p w:rsidR="00A4108B" w:rsidRDefault="005810C9" w:rsidP="005810C9">
      <w:pPr>
        <w:tabs>
          <w:tab w:val="left" w:pos="-720"/>
        </w:tabs>
        <w:suppressAutoHyphens/>
        <w:jc w:val="both"/>
        <w:rPr>
          <w:rFonts w:ascii="Garamond" w:hAnsi="Garamond"/>
        </w:rPr>
      </w:pPr>
      <w:r w:rsidRPr="005810C9">
        <w:rPr>
          <w:rFonts w:ascii="Garamond" w:hAnsi="Garamond"/>
        </w:rPr>
        <w:t xml:space="preserve"> </w:t>
      </w:r>
    </w:p>
    <w:p w:rsidR="005810C9" w:rsidRPr="005810C9" w:rsidRDefault="005810C9" w:rsidP="005810C9">
      <w:pPr>
        <w:tabs>
          <w:tab w:val="left" w:pos="-720"/>
        </w:tabs>
        <w:suppressAutoHyphens/>
        <w:jc w:val="both"/>
        <w:rPr>
          <w:rFonts w:ascii="Garamond" w:hAnsi="Garamond"/>
        </w:rPr>
      </w:pPr>
      <w:r w:rsidRPr="005810C9">
        <w:rPr>
          <w:rFonts w:ascii="Garamond" w:hAnsi="Garamond"/>
        </w:rPr>
        <w:t>The image conjured up was a powerful one of scheming opponents and unimaginative and obstructive citizens, and this was often repeated, despite its divergence from the truth. Wren’s plan certainly had an appeal for later generations and the portrayal of the visionary architect whose proposals were frustrated by narrow-minded and selfish dullards helped to fuel the disappointment. That disappointment continued into the twentieth century, despite Thomas Reddaway’s study of the rebuilding, published in 1940, which demonstrated convincingly that the financial and administrative means to implement such a complete re-planning were just not available. Neither the corporation nor the crown could have financed the compensation needed for property owners and their tenants, nor was there a civil service large and able enough to oversee the necessary transfer of property. The process would have been very slow and a speedy rebuilding was the overriding priority.</w:t>
      </w:r>
    </w:p>
    <w:p w:rsidR="00A4108B" w:rsidRDefault="00A4108B"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 xml:space="preserve">The bright new city that was built did not survive intact for very long; from the early eighteenth century the post-fire buildings, typically constructed on leases of no more than sixty years and so not all well-built, were gradually replaced by new houses and shops, later by warehouses and offices. This process was carried out with some enthusiasm in the nineteenth century, when Classical uniformity was much out of favour and even some of Wren’s post-fire churches were demolished, without regret. The replacement process was given added impetus by further fires. In 1715 a boy in a house in Thames Street was mixing his father’s gunpowder to make fireworks when he made some kind of mistake and detonated an explosion that blew up the house and started a blaze which ran along the street and burnt as many as 100 houses and the Custom House before it was brought under control. As in 1666, Thames Street was at risk from fire because of the large stocks of flammable goods on the quays and in the riverside sheds, but another blaze, in 1748 in Cornhill and Exchange Alley, began at a wig-maker’s, and the nearby buildings were coffee-houses, which surely presented no great fire risk, nevertheless it burnt about ninety houses. So the enforcement of building in brick and tile, minimising the amount of external woodwork, removing tenements and preventing the subdivision of buildings did not prevent multiple-house fires within the area rebuilt after 1666. </w:t>
      </w:r>
    </w:p>
    <w:p w:rsidR="00A4108B" w:rsidRDefault="00A4108B"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The Great Fire is usually regarded as a major disaster, destroying one-fifth of the city’s buildings in the year after the Great Plague had killed one-fifth of its population. The conflagration surely had an awful impact on those whose property and goods were destroyed, and those who tried to stem the flames, or even who just watched it. But it did provide a boost for business, with the replacement of the fuel and supplies for the coming winter, and then provision of materials and labour to erect the new buildings and to re-stock the workshops and shops. The pioneering statistician John Graunt had calculated that the population recovered to its former level within two years of the major epidemics in 1603 and 1625, in both of which the proportion of the population that died was similar to that in 1665, and that also applied after the Great Plague, despite the destruction and disruption caused by the fire. The average number of burials for 1668-72, when the houses were being completed, was almost seven per cent higher than for 1660-4 and coal shipments from Newcastle to London in 1667-71 were the at the same level as they had been in 1660-4. London continued to grow, from a population of roughly 400,000 in 1650 to 575,000 by the end of the century, and the proportion of the national total population living in the metropolis increased during the same period from under 8 per cent to over 11 per cent.</w:t>
      </w:r>
    </w:p>
    <w:p w:rsidR="00A4108B" w:rsidRDefault="00A4108B"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lastRenderedPageBreak/>
        <w:t>Buildings are the expression of a community, not its essence, and skills, acumen, determination, industriousness and business connections were not destroyed by the fire. Nor was much of the city’s portable wealth; the merchants’ capital was in coin, gold, bonds and paper instruments, and they were removed in advance of the flames, and their bullion was stored in the Tower; many of the artisans’ tools were movable and some of their stock may have been saved. Those who lived close to Pudding Lane may not have been able to save as much as they would have liked, but the fire burned for four days and so householders in the districts which the fire reached on the Monday, Tuesday or Wednesday had ample time to take their possessions away. Even on the first day, according to Pepys the citizens were able to rescue their keyboard instruments.</w:t>
      </w:r>
    </w:p>
    <w:p w:rsidR="00A4108B" w:rsidRDefault="00A4108B" w:rsidP="005810C9">
      <w:pPr>
        <w:tabs>
          <w:tab w:val="left" w:pos="-720"/>
        </w:tabs>
        <w:suppressAutoHyphens/>
        <w:jc w:val="both"/>
        <w:rPr>
          <w:rFonts w:ascii="Garamond" w:hAnsi="Garamond"/>
        </w:rPr>
      </w:pPr>
    </w:p>
    <w:p w:rsidR="005810C9" w:rsidRPr="005810C9" w:rsidRDefault="005810C9" w:rsidP="005810C9">
      <w:pPr>
        <w:tabs>
          <w:tab w:val="left" w:pos="-720"/>
        </w:tabs>
        <w:suppressAutoHyphens/>
        <w:jc w:val="both"/>
        <w:rPr>
          <w:rFonts w:ascii="Garamond" w:hAnsi="Garamond"/>
        </w:rPr>
      </w:pPr>
      <w:r w:rsidRPr="005810C9">
        <w:rPr>
          <w:rFonts w:ascii="Garamond" w:hAnsi="Garamond"/>
        </w:rPr>
        <w:t>Some people left London in the aftermath of the fire, to set up in business elsewhere, but the effect of that surely was to strengthen the contacts between London and their new city, for they would continue to do business with those they had dealt with in London. Nor did the fire initiate the trend for retailers in luxury goods to follow their wealthy customers to the Strand and the West End, which was just beginning to develop, because that process was already under way. And it certainly was not the reason for the end of the plague. The conjunction of the fire with the ending of plague epidemics in Britain was assumed to be a case of cause and effect, with the fire acting as a purifying agent, cleansing the ‘poisonous filtrations’ from the ground on which the City stood. But only one-fifth of just this one city had been destroyed in the blaze.</w:t>
      </w:r>
    </w:p>
    <w:p w:rsidR="00A4108B" w:rsidRDefault="005810C9" w:rsidP="005810C9">
      <w:pPr>
        <w:tabs>
          <w:tab w:val="left" w:pos="-720"/>
        </w:tabs>
        <w:suppressAutoHyphens/>
        <w:jc w:val="both"/>
        <w:rPr>
          <w:rFonts w:ascii="Garamond" w:hAnsi="Garamond"/>
        </w:rPr>
      </w:pPr>
      <w:r w:rsidRPr="005810C9">
        <w:rPr>
          <w:rFonts w:ascii="Garamond" w:hAnsi="Garamond"/>
        </w:rPr>
        <w:t xml:space="preserve"> </w:t>
      </w:r>
    </w:p>
    <w:p w:rsidR="005810C9" w:rsidRPr="005810C9" w:rsidRDefault="005810C9" w:rsidP="005810C9">
      <w:pPr>
        <w:tabs>
          <w:tab w:val="left" w:pos="-720"/>
        </w:tabs>
        <w:suppressAutoHyphens/>
        <w:jc w:val="both"/>
        <w:rPr>
          <w:rFonts w:ascii="Garamond" w:hAnsi="Garamond"/>
        </w:rPr>
      </w:pPr>
      <w:r w:rsidRPr="005810C9">
        <w:rPr>
          <w:rFonts w:ascii="Garamond" w:hAnsi="Garamond"/>
        </w:rPr>
        <w:t xml:space="preserve">It is not possible to have a ‘good’ disaster, but the impact of a catastrophe does depend upon the state of the community affected at the time; one which was struggling economically would clearly find recovery difficult. The examples in that respect would be Buckingham after a fire in 1725 and Tiverton after its fire in 1731. But London in the mid-1660s was a prosperous city that continued to thrive, and the fire, although making a huge visible impact, did not impair its prosperity or growth. It is difficult to conclude that such a dramatic event was just a glitch when seen in the city’s longer history, but perhaps we should at least consider that possibility. </w:t>
      </w:r>
    </w:p>
    <w:p w:rsidR="00396EF4" w:rsidRDefault="00396EF4" w:rsidP="00396EF4"/>
    <w:p w:rsidR="00396EF4" w:rsidRDefault="00396EF4" w:rsidP="00396EF4">
      <w:pPr>
        <w:jc w:val="right"/>
        <w:rPr>
          <w:rFonts w:ascii="Garamond" w:hAnsi="Garamond"/>
        </w:rPr>
      </w:pPr>
    </w:p>
    <w:p w:rsidR="00396EF4" w:rsidRPr="00991EE1" w:rsidRDefault="00396EF4" w:rsidP="00396EF4">
      <w:pPr>
        <w:jc w:val="right"/>
        <w:rPr>
          <w:rFonts w:ascii="Garamond" w:hAnsi="Garamond"/>
        </w:rPr>
      </w:pPr>
      <w:r w:rsidRPr="00991EE1">
        <w:rPr>
          <w:rFonts w:ascii="Garamond" w:hAnsi="Garamond"/>
        </w:rPr>
        <w:t xml:space="preserve">© </w:t>
      </w:r>
      <w:r>
        <w:rPr>
          <w:rFonts w:ascii="Garamond" w:hAnsi="Garamond"/>
        </w:rPr>
        <w:t>Dr Stephen Porter</w:t>
      </w:r>
      <w:r>
        <w:rPr>
          <w:rFonts w:ascii="Garamond" w:hAnsi="Garamond"/>
        </w:rPr>
        <w:t>,</w:t>
      </w:r>
      <w:r w:rsidRPr="00991EE1">
        <w:rPr>
          <w:rFonts w:ascii="Garamond" w:hAnsi="Garamond"/>
        </w:rPr>
        <w:t xml:space="preserve"> 2016</w:t>
      </w:r>
    </w:p>
    <w:p w:rsidR="00396EF4" w:rsidRDefault="00396EF4" w:rsidP="00396EF4">
      <w:pPr>
        <w:jc w:val="both"/>
        <w:rPr>
          <w:rFonts w:ascii="Garamond" w:hAnsi="Garamond"/>
        </w:rPr>
      </w:pPr>
    </w:p>
    <w:p w:rsidR="00396EF4" w:rsidRDefault="00396EF4" w:rsidP="00396EF4">
      <w:pPr>
        <w:jc w:val="both"/>
        <w:rPr>
          <w:rFonts w:ascii="Garamond" w:hAnsi="Garamond"/>
        </w:rPr>
      </w:pPr>
    </w:p>
    <w:p w:rsidR="00396EF4" w:rsidRDefault="00396EF4" w:rsidP="00396EF4">
      <w:pPr>
        <w:jc w:val="both"/>
        <w:rPr>
          <w:rFonts w:ascii="Garamond" w:hAnsi="Garamond"/>
        </w:rPr>
      </w:pPr>
    </w:p>
    <w:p w:rsidR="00396EF4" w:rsidRDefault="00396EF4" w:rsidP="00396EF4">
      <w:pPr>
        <w:jc w:val="both"/>
        <w:rPr>
          <w:rFonts w:ascii="Garamond" w:hAnsi="Garamond"/>
        </w:rPr>
      </w:pPr>
    </w:p>
    <w:p w:rsidR="00396EF4" w:rsidRDefault="00396EF4" w:rsidP="00396EF4">
      <w:pPr>
        <w:jc w:val="both"/>
        <w:rPr>
          <w:rFonts w:ascii="Garamond" w:hAnsi="Garamond"/>
        </w:rPr>
      </w:pPr>
    </w:p>
    <w:p w:rsidR="00396EF4" w:rsidRDefault="00396EF4" w:rsidP="00396EF4">
      <w:pPr>
        <w:jc w:val="both"/>
        <w:rPr>
          <w:rFonts w:ascii="Garamond" w:hAnsi="Garamond"/>
        </w:rPr>
      </w:pPr>
    </w:p>
    <w:p w:rsidR="00396EF4" w:rsidRDefault="00396EF4" w:rsidP="00396EF4">
      <w:pPr>
        <w:jc w:val="both"/>
        <w:rPr>
          <w:rFonts w:ascii="Garamond" w:hAnsi="Garamond"/>
        </w:rPr>
      </w:pPr>
    </w:p>
    <w:p w:rsidR="00396EF4" w:rsidRPr="00F941B6" w:rsidRDefault="00396EF4" w:rsidP="00396EF4">
      <w:pPr>
        <w:rPr>
          <w:rFonts w:ascii="Garamond" w:hAnsi="Garamond"/>
        </w:rPr>
      </w:pPr>
      <w:r w:rsidRPr="00F941B6">
        <w:rPr>
          <w:rFonts w:ascii="Garamond" w:hAnsi="Garamond"/>
          <w:sz w:val="18"/>
          <w:szCs w:val="18"/>
        </w:rPr>
        <w:t>Gresham College</w:t>
      </w:r>
    </w:p>
    <w:p w:rsidR="00396EF4" w:rsidRPr="00F941B6" w:rsidRDefault="00396EF4" w:rsidP="00396EF4">
      <w:pPr>
        <w:rPr>
          <w:rFonts w:ascii="Garamond" w:hAnsi="Garamond"/>
          <w:sz w:val="18"/>
          <w:szCs w:val="18"/>
        </w:rPr>
      </w:pPr>
      <w:r w:rsidRPr="00F941B6">
        <w:rPr>
          <w:rFonts w:ascii="Garamond" w:hAnsi="Garamond"/>
          <w:sz w:val="18"/>
          <w:szCs w:val="18"/>
        </w:rPr>
        <w:t>Barnard’s Inn Hall</w:t>
      </w:r>
    </w:p>
    <w:p w:rsidR="00396EF4" w:rsidRPr="00F941B6" w:rsidRDefault="00396EF4" w:rsidP="00396EF4">
      <w:pPr>
        <w:pStyle w:val="Header"/>
        <w:jc w:val="both"/>
        <w:rPr>
          <w:rFonts w:ascii="Garamond" w:hAnsi="Garamond"/>
          <w:sz w:val="18"/>
          <w:szCs w:val="18"/>
        </w:rPr>
      </w:pPr>
      <w:r w:rsidRPr="00F941B6">
        <w:rPr>
          <w:rFonts w:ascii="Garamond" w:hAnsi="Garamond"/>
          <w:sz w:val="18"/>
          <w:szCs w:val="18"/>
        </w:rPr>
        <w:t>Holborn</w:t>
      </w:r>
    </w:p>
    <w:p w:rsidR="00396EF4" w:rsidRPr="00F941B6" w:rsidRDefault="00396EF4" w:rsidP="00396EF4">
      <w:pPr>
        <w:pStyle w:val="Header"/>
        <w:jc w:val="both"/>
        <w:rPr>
          <w:rFonts w:ascii="Garamond" w:hAnsi="Garamond"/>
          <w:sz w:val="18"/>
          <w:szCs w:val="18"/>
        </w:rPr>
      </w:pPr>
      <w:r w:rsidRPr="00F941B6">
        <w:rPr>
          <w:rFonts w:ascii="Garamond" w:hAnsi="Garamond"/>
          <w:sz w:val="18"/>
          <w:szCs w:val="18"/>
        </w:rPr>
        <w:t>London</w:t>
      </w:r>
    </w:p>
    <w:p w:rsidR="00396EF4" w:rsidRPr="00F941B6" w:rsidRDefault="00396EF4" w:rsidP="00396EF4">
      <w:pPr>
        <w:pStyle w:val="Header"/>
        <w:jc w:val="both"/>
        <w:rPr>
          <w:rFonts w:ascii="Garamond" w:hAnsi="Garamond"/>
          <w:sz w:val="18"/>
          <w:szCs w:val="18"/>
        </w:rPr>
      </w:pPr>
      <w:r w:rsidRPr="00F941B6">
        <w:rPr>
          <w:rFonts w:ascii="Garamond" w:hAnsi="Garamond"/>
          <w:sz w:val="18"/>
          <w:szCs w:val="18"/>
        </w:rPr>
        <w:t>EC1N 2HH</w:t>
      </w:r>
    </w:p>
    <w:p w:rsidR="00396EF4" w:rsidRPr="00BA4139" w:rsidRDefault="00396EF4" w:rsidP="00396EF4">
      <w:pPr>
        <w:pStyle w:val="Header"/>
        <w:jc w:val="both"/>
        <w:rPr>
          <w:rFonts w:ascii="Garamond" w:hAnsi="Garamond"/>
          <w:b/>
          <w:sz w:val="18"/>
          <w:szCs w:val="18"/>
        </w:rPr>
      </w:pPr>
      <w:hyperlink r:id="rId9" w:history="1">
        <w:r w:rsidRPr="00BA4139">
          <w:rPr>
            <w:rStyle w:val="Hyperlink"/>
            <w:rFonts w:ascii="Garamond" w:hAnsi="Garamond"/>
            <w:sz w:val="18"/>
            <w:szCs w:val="18"/>
          </w:rPr>
          <w:t>www.gresham.ac.uk</w:t>
        </w:r>
      </w:hyperlink>
      <w:r w:rsidRPr="00BA4139">
        <w:rPr>
          <w:rFonts w:ascii="Garamond" w:hAnsi="Garamond"/>
          <w:b/>
          <w:sz w:val="18"/>
          <w:szCs w:val="18"/>
        </w:rPr>
        <w:t xml:space="preserve"> </w:t>
      </w:r>
    </w:p>
    <w:p w:rsidR="00D529F4" w:rsidRPr="005810C9" w:rsidRDefault="00D529F4" w:rsidP="005810C9">
      <w:pPr>
        <w:jc w:val="both"/>
        <w:rPr>
          <w:rFonts w:ascii="Garamond" w:hAnsi="Garamond"/>
        </w:rPr>
      </w:pPr>
    </w:p>
    <w:sectPr w:rsidR="00D529F4" w:rsidRPr="005810C9" w:rsidSect="00396EF4">
      <w:headerReference w:type="default" r:id="rId10"/>
      <w:footerReference w:type="even"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815" w:rsidRDefault="004A3815" w:rsidP="005810C9">
      <w:r>
        <w:separator/>
      </w:r>
    </w:p>
  </w:endnote>
  <w:endnote w:type="continuationSeparator" w:id="0">
    <w:p w:rsidR="004A3815" w:rsidRDefault="004A3815" w:rsidP="0058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5A8" w:rsidRDefault="004A3815" w:rsidP="000E76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75A8" w:rsidRDefault="004A38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016453"/>
      <w:docPartObj>
        <w:docPartGallery w:val="Page Numbers (Bottom of Page)"/>
        <w:docPartUnique/>
      </w:docPartObj>
    </w:sdtPr>
    <w:sdtEndPr>
      <w:rPr>
        <w:rFonts w:ascii="Garamond" w:hAnsi="Garamond"/>
        <w:noProof/>
        <w:sz w:val="20"/>
      </w:rPr>
    </w:sdtEndPr>
    <w:sdtContent>
      <w:p w:rsidR="005810C9" w:rsidRPr="005810C9" w:rsidRDefault="005810C9">
        <w:pPr>
          <w:pStyle w:val="Footer"/>
          <w:jc w:val="center"/>
          <w:rPr>
            <w:rFonts w:ascii="Garamond" w:hAnsi="Garamond"/>
            <w:sz w:val="20"/>
          </w:rPr>
        </w:pPr>
        <w:r w:rsidRPr="005810C9">
          <w:rPr>
            <w:rFonts w:ascii="Garamond" w:hAnsi="Garamond"/>
            <w:sz w:val="20"/>
          </w:rPr>
          <w:fldChar w:fldCharType="begin"/>
        </w:r>
        <w:r w:rsidRPr="005810C9">
          <w:rPr>
            <w:rFonts w:ascii="Garamond" w:hAnsi="Garamond"/>
            <w:sz w:val="20"/>
          </w:rPr>
          <w:instrText xml:space="preserve"> PAGE   \* MERGEFORMAT </w:instrText>
        </w:r>
        <w:r w:rsidRPr="005810C9">
          <w:rPr>
            <w:rFonts w:ascii="Garamond" w:hAnsi="Garamond"/>
            <w:sz w:val="20"/>
          </w:rPr>
          <w:fldChar w:fldCharType="separate"/>
        </w:r>
        <w:r w:rsidR="00396EF4">
          <w:rPr>
            <w:rFonts w:ascii="Garamond" w:hAnsi="Garamond"/>
            <w:noProof/>
            <w:sz w:val="20"/>
          </w:rPr>
          <w:t>7</w:t>
        </w:r>
        <w:r w:rsidRPr="005810C9">
          <w:rPr>
            <w:rFonts w:ascii="Garamond" w:hAnsi="Garamond"/>
            <w:noProof/>
            <w:sz w:val="20"/>
          </w:rPr>
          <w:fldChar w:fldCharType="end"/>
        </w:r>
      </w:p>
    </w:sdtContent>
  </w:sdt>
  <w:p w:rsidR="00FB75A8" w:rsidRDefault="004A3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815" w:rsidRDefault="004A3815" w:rsidP="005810C9">
      <w:r>
        <w:separator/>
      </w:r>
    </w:p>
  </w:footnote>
  <w:footnote w:type="continuationSeparator" w:id="0">
    <w:p w:rsidR="004A3815" w:rsidRDefault="004A3815" w:rsidP="00581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F4" w:rsidRDefault="00396EF4" w:rsidP="00396EF4">
    <w:pPr>
      <w:pStyle w:val="Header"/>
      <w:jc w:val="right"/>
    </w:pPr>
    <w:r>
      <w:rPr>
        <w:rFonts w:ascii="Garamond" w:hAnsi="Garamond"/>
        <w:noProof/>
        <w:lang w:eastAsia="en-GB"/>
      </w:rPr>
      <w:drawing>
        <wp:inline distT="0" distB="0" distL="0" distR="0" wp14:anchorId="57643A58" wp14:editId="3B1F2CE4">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C9"/>
    <w:rsid w:val="00396EF4"/>
    <w:rsid w:val="004A3815"/>
    <w:rsid w:val="005810C9"/>
    <w:rsid w:val="00A4108B"/>
    <w:rsid w:val="00D5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0C9"/>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uiPriority w:val="99"/>
    <w:qFormat/>
    <w:rsid w:val="005810C9"/>
    <w:pPr>
      <w:keepNext/>
      <w:keepLines/>
      <w:widowControl/>
      <w:spacing w:before="120" w:line="276" w:lineRule="auto"/>
      <w:outlineLvl w:val="0"/>
    </w:pPr>
    <w:rPr>
      <w:rFonts w:ascii="Maiandra GD" w:eastAsia="Calibri" w:hAnsi="Maiandra GD"/>
      <w:b/>
      <w:smallCaps/>
      <w:snapToGrid/>
      <w:color w:val="244061"/>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10C9"/>
    <w:pPr>
      <w:tabs>
        <w:tab w:val="center" w:pos="4153"/>
        <w:tab w:val="right" w:pos="8306"/>
      </w:tabs>
    </w:pPr>
  </w:style>
  <w:style w:type="character" w:customStyle="1" w:styleId="FooterChar">
    <w:name w:val="Footer Char"/>
    <w:basedOn w:val="DefaultParagraphFont"/>
    <w:link w:val="Footer"/>
    <w:uiPriority w:val="99"/>
    <w:rsid w:val="005810C9"/>
    <w:rPr>
      <w:rFonts w:ascii="Courier New" w:eastAsia="Times New Roman" w:hAnsi="Courier New" w:cs="Times New Roman"/>
      <w:snapToGrid w:val="0"/>
      <w:sz w:val="24"/>
      <w:szCs w:val="20"/>
    </w:rPr>
  </w:style>
  <w:style w:type="character" w:styleId="PageNumber">
    <w:name w:val="page number"/>
    <w:basedOn w:val="DefaultParagraphFont"/>
    <w:rsid w:val="005810C9"/>
  </w:style>
  <w:style w:type="paragraph" w:styleId="Header">
    <w:name w:val="header"/>
    <w:basedOn w:val="Normal"/>
    <w:link w:val="HeaderChar"/>
    <w:uiPriority w:val="99"/>
    <w:unhideWhenUsed/>
    <w:rsid w:val="005810C9"/>
    <w:pPr>
      <w:tabs>
        <w:tab w:val="center" w:pos="4513"/>
        <w:tab w:val="right" w:pos="9026"/>
      </w:tabs>
    </w:pPr>
  </w:style>
  <w:style w:type="character" w:customStyle="1" w:styleId="HeaderChar">
    <w:name w:val="Header Char"/>
    <w:basedOn w:val="DefaultParagraphFont"/>
    <w:link w:val="Header"/>
    <w:uiPriority w:val="99"/>
    <w:rsid w:val="005810C9"/>
    <w:rPr>
      <w:rFonts w:ascii="Courier New" w:eastAsia="Times New Roman" w:hAnsi="Courier New" w:cs="Times New Roman"/>
      <w:snapToGrid w:val="0"/>
      <w:sz w:val="24"/>
      <w:szCs w:val="20"/>
    </w:rPr>
  </w:style>
  <w:style w:type="character" w:customStyle="1" w:styleId="Heading1Char">
    <w:name w:val="Heading 1 Char"/>
    <w:basedOn w:val="DefaultParagraphFont"/>
    <w:link w:val="Heading1"/>
    <w:uiPriority w:val="99"/>
    <w:rsid w:val="005810C9"/>
    <w:rPr>
      <w:rFonts w:ascii="Maiandra GD" w:eastAsia="Calibri" w:hAnsi="Maiandra GD" w:cs="Times New Roman"/>
      <w:b/>
      <w:smallCaps/>
      <w:color w:val="244061"/>
      <w:sz w:val="28"/>
      <w:szCs w:val="20"/>
      <w:lang w:eastAsia="ja-JP"/>
    </w:rPr>
  </w:style>
  <w:style w:type="paragraph" w:styleId="NormalWeb">
    <w:name w:val="Normal (Web)"/>
    <w:basedOn w:val="Normal"/>
    <w:rsid w:val="005810C9"/>
    <w:pPr>
      <w:widowControl/>
      <w:spacing w:before="100" w:beforeAutospacing="1" w:after="100" w:afterAutospacing="1"/>
    </w:pPr>
    <w:rPr>
      <w:rFonts w:ascii="Times New Roman" w:hAnsi="Times New Roman"/>
      <w:snapToGrid/>
      <w:szCs w:val="24"/>
      <w:lang w:eastAsia="en-GB"/>
    </w:rPr>
  </w:style>
  <w:style w:type="paragraph" w:styleId="BalloonText">
    <w:name w:val="Balloon Text"/>
    <w:basedOn w:val="Normal"/>
    <w:link w:val="BalloonTextChar"/>
    <w:uiPriority w:val="99"/>
    <w:semiHidden/>
    <w:unhideWhenUsed/>
    <w:rsid w:val="005810C9"/>
    <w:rPr>
      <w:rFonts w:ascii="Tahoma" w:hAnsi="Tahoma" w:cs="Tahoma"/>
      <w:sz w:val="16"/>
      <w:szCs w:val="16"/>
    </w:rPr>
  </w:style>
  <w:style w:type="character" w:customStyle="1" w:styleId="BalloonTextChar">
    <w:name w:val="Balloon Text Char"/>
    <w:basedOn w:val="DefaultParagraphFont"/>
    <w:link w:val="BalloonText"/>
    <w:uiPriority w:val="99"/>
    <w:semiHidden/>
    <w:rsid w:val="005810C9"/>
    <w:rPr>
      <w:rFonts w:ascii="Tahoma" w:eastAsia="Times New Roman" w:hAnsi="Tahoma" w:cs="Tahoma"/>
      <w:snapToGrid w:val="0"/>
      <w:sz w:val="16"/>
      <w:szCs w:val="16"/>
    </w:rPr>
  </w:style>
  <w:style w:type="character" w:styleId="Hyperlink">
    <w:name w:val="Hyperlink"/>
    <w:semiHidden/>
    <w:rsid w:val="00396EF4"/>
    <w:rPr>
      <w:rFonts w:ascii="Verdana" w:hAnsi="Verdana" w:hint="default"/>
      <w:b/>
      <w:bCs/>
      <w:strike w:val="0"/>
      <w:dstrike w:val="0"/>
      <w:color w:val="29297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0C9"/>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uiPriority w:val="99"/>
    <w:qFormat/>
    <w:rsid w:val="005810C9"/>
    <w:pPr>
      <w:keepNext/>
      <w:keepLines/>
      <w:widowControl/>
      <w:spacing w:before="120" w:line="276" w:lineRule="auto"/>
      <w:outlineLvl w:val="0"/>
    </w:pPr>
    <w:rPr>
      <w:rFonts w:ascii="Maiandra GD" w:eastAsia="Calibri" w:hAnsi="Maiandra GD"/>
      <w:b/>
      <w:smallCaps/>
      <w:snapToGrid/>
      <w:color w:val="244061"/>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10C9"/>
    <w:pPr>
      <w:tabs>
        <w:tab w:val="center" w:pos="4153"/>
        <w:tab w:val="right" w:pos="8306"/>
      </w:tabs>
    </w:pPr>
  </w:style>
  <w:style w:type="character" w:customStyle="1" w:styleId="FooterChar">
    <w:name w:val="Footer Char"/>
    <w:basedOn w:val="DefaultParagraphFont"/>
    <w:link w:val="Footer"/>
    <w:uiPriority w:val="99"/>
    <w:rsid w:val="005810C9"/>
    <w:rPr>
      <w:rFonts w:ascii="Courier New" w:eastAsia="Times New Roman" w:hAnsi="Courier New" w:cs="Times New Roman"/>
      <w:snapToGrid w:val="0"/>
      <w:sz w:val="24"/>
      <w:szCs w:val="20"/>
    </w:rPr>
  </w:style>
  <w:style w:type="character" w:styleId="PageNumber">
    <w:name w:val="page number"/>
    <w:basedOn w:val="DefaultParagraphFont"/>
    <w:rsid w:val="005810C9"/>
  </w:style>
  <w:style w:type="paragraph" w:styleId="Header">
    <w:name w:val="header"/>
    <w:basedOn w:val="Normal"/>
    <w:link w:val="HeaderChar"/>
    <w:uiPriority w:val="99"/>
    <w:unhideWhenUsed/>
    <w:rsid w:val="005810C9"/>
    <w:pPr>
      <w:tabs>
        <w:tab w:val="center" w:pos="4513"/>
        <w:tab w:val="right" w:pos="9026"/>
      </w:tabs>
    </w:pPr>
  </w:style>
  <w:style w:type="character" w:customStyle="1" w:styleId="HeaderChar">
    <w:name w:val="Header Char"/>
    <w:basedOn w:val="DefaultParagraphFont"/>
    <w:link w:val="Header"/>
    <w:uiPriority w:val="99"/>
    <w:rsid w:val="005810C9"/>
    <w:rPr>
      <w:rFonts w:ascii="Courier New" w:eastAsia="Times New Roman" w:hAnsi="Courier New" w:cs="Times New Roman"/>
      <w:snapToGrid w:val="0"/>
      <w:sz w:val="24"/>
      <w:szCs w:val="20"/>
    </w:rPr>
  </w:style>
  <w:style w:type="character" w:customStyle="1" w:styleId="Heading1Char">
    <w:name w:val="Heading 1 Char"/>
    <w:basedOn w:val="DefaultParagraphFont"/>
    <w:link w:val="Heading1"/>
    <w:uiPriority w:val="99"/>
    <w:rsid w:val="005810C9"/>
    <w:rPr>
      <w:rFonts w:ascii="Maiandra GD" w:eastAsia="Calibri" w:hAnsi="Maiandra GD" w:cs="Times New Roman"/>
      <w:b/>
      <w:smallCaps/>
      <w:color w:val="244061"/>
      <w:sz w:val="28"/>
      <w:szCs w:val="20"/>
      <w:lang w:eastAsia="ja-JP"/>
    </w:rPr>
  </w:style>
  <w:style w:type="paragraph" w:styleId="NormalWeb">
    <w:name w:val="Normal (Web)"/>
    <w:basedOn w:val="Normal"/>
    <w:rsid w:val="005810C9"/>
    <w:pPr>
      <w:widowControl/>
      <w:spacing w:before="100" w:beforeAutospacing="1" w:after="100" w:afterAutospacing="1"/>
    </w:pPr>
    <w:rPr>
      <w:rFonts w:ascii="Times New Roman" w:hAnsi="Times New Roman"/>
      <w:snapToGrid/>
      <w:szCs w:val="24"/>
      <w:lang w:eastAsia="en-GB"/>
    </w:rPr>
  </w:style>
  <w:style w:type="paragraph" w:styleId="BalloonText">
    <w:name w:val="Balloon Text"/>
    <w:basedOn w:val="Normal"/>
    <w:link w:val="BalloonTextChar"/>
    <w:uiPriority w:val="99"/>
    <w:semiHidden/>
    <w:unhideWhenUsed/>
    <w:rsid w:val="005810C9"/>
    <w:rPr>
      <w:rFonts w:ascii="Tahoma" w:hAnsi="Tahoma" w:cs="Tahoma"/>
      <w:sz w:val="16"/>
      <w:szCs w:val="16"/>
    </w:rPr>
  </w:style>
  <w:style w:type="character" w:customStyle="1" w:styleId="BalloonTextChar">
    <w:name w:val="Balloon Text Char"/>
    <w:basedOn w:val="DefaultParagraphFont"/>
    <w:link w:val="BalloonText"/>
    <w:uiPriority w:val="99"/>
    <w:semiHidden/>
    <w:rsid w:val="005810C9"/>
    <w:rPr>
      <w:rFonts w:ascii="Tahoma" w:eastAsia="Times New Roman" w:hAnsi="Tahoma" w:cs="Tahoma"/>
      <w:snapToGrid w:val="0"/>
      <w:sz w:val="16"/>
      <w:szCs w:val="16"/>
    </w:rPr>
  </w:style>
  <w:style w:type="character" w:styleId="Hyperlink">
    <w:name w:val="Hyperlink"/>
    <w:semiHidden/>
    <w:rsid w:val="00396EF4"/>
    <w:rPr>
      <w:rFonts w:ascii="Verdana" w:hAnsi="Verdana" w:hint="default"/>
      <w:b/>
      <w:bCs/>
      <w:strike w:val="0"/>
      <w:dstrike w:val="0"/>
      <w:color w:val="29297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esham.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BE6"/>
    <w:rsid w:val="000F4BE6"/>
    <w:rsid w:val="00AF3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CDA4E28A824C6399EE6C3FE07535DF">
    <w:name w:val="93CDA4E28A824C6399EE6C3FE07535DF"/>
    <w:rsid w:val="000F4B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CDA4E28A824C6399EE6C3FE07535DF">
    <w:name w:val="93CDA4E28A824C6399EE6C3FE07535DF"/>
    <w:rsid w:val="000F4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4766</Words>
  <Characters>27168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1</cp:revision>
  <dcterms:created xsi:type="dcterms:W3CDTF">2016-05-31T13:53:00Z</dcterms:created>
  <dcterms:modified xsi:type="dcterms:W3CDTF">2016-05-31T14:18:00Z</dcterms:modified>
</cp:coreProperties>
</file>