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0B" w:rsidRDefault="00FD770B" w:rsidP="00FD770B">
      <w:pPr>
        <w:pStyle w:val="Heading1"/>
        <w:spacing w:before="0"/>
        <w:jc w:val="center"/>
      </w:pPr>
    </w:p>
    <w:p w:rsidR="00FD770B" w:rsidRDefault="00FD770B" w:rsidP="00CE26D6">
      <w:pPr>
        <w:pStyle w:val="Heading1"/>
        <w:spacing w:before="0"/>
        <w:jc w:val="center"/>
      </w:pPr>
      <w:r>
        <w:rPr>
          <w:rFonts w:ascii="Garamond" w:hAnsi="Garamond"/>
          <w:noProof/>
          <w:sz w:val="22"/>
          <w:szCs w:val="22"/>
          <w:lang w:eastAsia="en-GB"/>
        </w:rPr>
        <w:drawing>
          <wp:anchor distT="0" distB="0" distL="114300" distR="114300" simplePos="0" relativeHeight="251658240" behindDoc="1" locked="0" layoutInCell="1" allowOverlap="1">
            <wp:simplePos x="0" y="0"/>
            <wp:positionH relativeFrom="column">
              <wp:posOffset>2689225</wp:posOffset>
            </wp:positionH>
            <wp:positionV relativeFrom="paragraph">
              <wp:posOffset>158115</wp:posOffset>
            </wp:positionV>
            <wp:extent cx="1275715" cy="361315"/>
            <wp:effectExtent l="0" t="0" r="635" b="635"/>
            <wp:wrapTight wrapText="bothSides">
              <wp:wrapPolygon edited="0">
                <wp:start x="0" y="0"/>
                <wp:lineTo x="0" y="20499"/>
                <wp:lineTo x="21288" y="20499"/>
                <wp:lineTo x="21288" y="0"/>
                <wp:lineTo x="0" y="0"/>
              </wp:wrapPolygon>
            </wp:wrapTight>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75715" cy="36131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rsidR="00FD770B" w:rsidRDefault="00FD770B" w:rsidP="00CE26D6">
      <w:pPr>
        <w:pStyle w:val="Heading1"/>
        <w:spacing w:before="0"/>
        <w:jc w:val="center"/>
      </w:pPr>
      <w:r>
        <w:rPr>
          <w:rFonts w:ascii="Garamond" w:hAnsi="Garamond"/>
          <w:noProof/>
          <w:sz w:val="22"/>
          <w:szCs w:val="22"/>
          <w:lang w:eastAsia="en-GB"/>
        </w:rPr>
        <w:drawing>
          <wp:anchor distT="0" distB="0" distL="114300" distR="114300" simplePos="0" relativeHeight="251659264" behindDoc="1" locked="0" layoutInCell="1" allowOverlap="1" wp14:anchorId="4DC0A1A9" wp14:editId="7206A164">
            <wp:simplePos x="0" y="0"/>
            <wp:positionH relativeFrom="column">
              <wp:posOffset>2029460</wp:posOffset>
            </wp:positionH>
            <wp:positionV relativeFrom="paragraph">
              <wp:posOffset>244475</wp:posOffset>
            </wp:positionV>
            <wp:extent cx="2466975" cy="275590"/>
            <wp:effectExtent l="0" t="0" r="9525" b="0"/>
            <wp:wrapTight wrapText="bothSides">
              <wp:wrapPolygon edited="0">
                <wp:start x="0" y="0"/>
                <wp:lineTo x="0" y="16424"/>
                <wp:lineTo x="3002" y="19410"/>
                <wp:lineTo x="4837" y="19410"/>
                <wp:lineTo x="21517" y="16424"/>
                <wp:lineTo x="21517" y="0"/>
                <wp:lineTo x="13844" y="0"/>
                <wp:lineTo x="0" y="0"/>
              </wp:wrapPolygon>
            </wp:wrapTight>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a:stretch>
                      <a:fillRect/>
                    </a:stretch>
                  </pic:blipFill>
                  <pic:spPr>
                    <a:xfrm>
                      <a:off x="0" y="0"/>
                      <a:ext cx="2466975" cy="27559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rsidR="00FD770B" w:rsidRDefault="00FD770B" w:rsidP="00CE26D6">
      <w:pPr>
        <w:spacing w:after="0" w:line="276" w:lineRule="auto"/>
        <w:jc w:val="center"/>
        <w:rPr>
          <w:rFonts w:ascii="Trajan Pro" w:hAnsi="Trajan Pro"/>
          <w:smallCaps/>
        </w:rPr>
      </w:pPr>
      <w:r>
        <w:rPr>
          <w:rFonts w:ascii="Trajan Pro" w:hAnsi="Trajan Pro"/>
          <w:smallCaps/>
        </w:rPr>
        <w:br/>
      </w:r>
    </w:p>
    <w:p w:rsidR="00CE26D6" w:rsidRPr="00CE26D6" w:rsidRDefault="00CE26D6" w:rsidP="00CE26D6">
      <w:pPr>
        <w:spacing w:after="0" w:line="276" w:lineRule="auto"/>
        <w:jc w:val="center"/>
        <w:rPr>
          <w:rFonts w:ascii="Trajan Pro" w:hAnsi="Trajan Pro"/>
          <w:smallCaps/>
          <w:sz w:val="6"/>
        </w:rPr>
      </w:pPr>
    </w:p>
    <w:p w:rsidR="00FD770B" w:rsidRDefault="00FD770B" w:rsidP="00CE26D6">
      <w:pPr>
        <w:spacing w:after="0" w:line="276" w:lineRule="auto"/>
        <w:jc w:val="center"/>
        <w:rPr>
          <w:rFonts w:ascii="Trajan Pro" w:hAnsi="Trajan Pro"/>
          <w:smallCaps/>
          <w:sz w:val="14"/>
        </w:rPr>
      </w:pPr>
      <w:r>
        <w:rPr>
          <w:rFonts w:ascii="Trajan Pro" w:hAnsi="Trajan Pro"/>
          <w:smallCaps/>
        </w:rPr>
        <w:t>17 May 2017</w:t>
      </w:r>
    </w:p>
    <w:p w:rsidR="00FD770B" w:rsidRPr="00FD770B" w:rsidRDefault="00FD770B" w:rsidP="00CE26D6">
      <w:pPr>
        <w:spacing w:after="0" w:line="276" w:lineRule="auto"/>
        <w:jc w:val="center"/>
        <w:rPr>
          <w:rFonts w:ascii="Trajan Pro" w:hAnsi="Trajan Pro"/>
          <w:smallCaps/>
          <w:sz w:val="14"/>
        </w:rPr>
      </w:pPr>
    </w:p>
    <w:p w:rsidR="00FD770B" w:rsidRDefault="00FD770B" w:rsidP="00CE26D6">
      <w:pPr>
        <w:spacing w:after="0" w:line="276" w:lineRule="auto"/>
        <w:jc w:val="center"/>
        <w:rPr>
          <w:rFonts w:ascii="Trajan Pro" w:hAnsi="Trajan Pro"/>
          <w:b/>
          <w:sz w:val="32"/>
          <w:szCs w:val="32"/>
        </w:rPr>
      </w:pPr>
      <w:r>
        <w:rPr>
          <w:rFonts w:ascii="Trajan Pro" w:hAnsi="Trajan Pro"/>
          <w:b/>
          <w:sz w:val="32"/>
          <w:szCs w:val="32"/>
        </w:rPr>
        <w:t xml:space="preserve">The Right Stuff: </w:t>
      </w:r>
    </w:p>
    <w:p w:rsidR="00FD770B" w:rsidRDefault="00110059" w:rsidP="00CE26D6">
      <w:pPr>
        <w:spacing w:after="0" w:line="276" w:lineRule="auto"/>
        <w:jc w:val="center"/>
        <w:rPr>
          <w:rFonts w:ascii="Trajan Pro" w:hAnsi="Trajan Pro"/>
          <w:b/>
          <w:sz w:val="12"/>
          <w:szCs w:val="32"/>
        </w:rPr>
      </w:pPr>
      <w:r>
        <w:rPr>
          <w:rFonts w:ascii="Trajan Pro" w:hAnsi="Trajan Pro"/>
          <w:b/>
          <w:sz w:val="32"/>
          <w:szCs w:val="32"/>
        </w:rPr>
        <w:t xml:space="preserve">Information, Privacy and the Ethics of Disclosure </w:t>
      </w:r>
    </w:p>
    <w:p w:rsidR="00FD770B" w:rsidRPr="00FD770B" w:rsidRDefault="00FD770B" w:rsidP="00CE26D6">
      <w:pPr>
        <w:spacing w:after="0" w:line="276" w:lineRule="auto"/>
        <w:jc w:val="center"/>
        <w:rPr>
          <w:rFonts w:ascii="Trajan Pro" w:hAnsi="Trajan Pro"/>
          <w:b/>
          <w:sz w:val="12"/>
          <w:szCs w:val="32"/>
        </w:rPr>
      </w:pPr>
    </w:p>
    <w:p w:rsidR="00FD770B" w:rsidRDefault="00FD770B" w:rsidP="00CE26D6">
      <w:pPr>
        <w:pStyle w:val="NormalWeb"/>
        <w:spacing w:before="0" w:beforeAutospacing="0" w:after="0" w:afterAutospacing="0" w:line="276" w:lineRule="auto"/>
        <w:jc w:val="center"/>
        <w:rPr>
          <w:rFonts w:ascii="Trajan Pro" w:hAnsi="Trajan Pro"/>
          <w:smallCaps/>
          <w:sz w:val="28"/>
          <w:szCs w:val="22"/>
        </w:rPr>
      </w:pPr>
      <w:r>
        <w:rPr>
          <w:rFonts w:ascii="Trajan Pro" w:hAnsi="Trajan Pro"/>
          <w:smallCaps/>
          <w:sz w:val="28"/>
          <w:szCs w:val="22"/>
        </w:rPr>
        <w:t>Professor Gwen Adshead</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p>
    <w:p w:rsidR="008C7469" w:rsidRPr="00521ABB" w:rsidRDefault="008C7469" w:rsidP="008C7469">
      <w:pPr>
        <w:spacing w:after="0"/>
        <w:jc w:val="both"/>
        <w:rPr>
          <w:rFonts w:ascii="Garamond" w:hAnsi="Garamond" w:cs="Arial"/>
          <w:b/>
          <w:sz w:val="24"/>
          <w:szCs w:val="24"/>
        </w:rPr>
      </w:pPr>
      <w:r w:rsidRPr="00521ABB">
        <w:rPr>
          <w:rFonts w:ascii="Garamond" w:hAnsi="Garamond" w:cs="Arial"/>
          <w:b/>
          <w:sz w:val="24"/>
          <w:szCs w:val="24"/>
        </w:rPr>
        <w:t>Introduction</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In my last lecture, I set out some basic ideas about how people make moral decisions; decisions that involve issues of value and emotional importance, that cannot be reduced to logical analysis. I applied these ideas to medicine and medical ethics, and wondered how we might teach the doctors of the future to make good quality decisions that involve personal values and identities. In this talk, I want to apply some of these ideas to handling personal information in medical practice, and the ways that we think about personal data sharing.</w:t>
      </w:r>
    </w:p>
    <w:p w:rsidR="008C7469" w:rsidRPr="00521ABB" w:rsidRDefault="008C7469" w:rsidP="008C7469">
      <w:pPr>
        <w:spacing w:after="0"/>
        <w:jc w:val="both"/>
        <w:rPr>
          <w:rFonts w:ascii="Garamond" w:hAnsi="Garamond" w:cs="Arial"/>
          <w:b/>
          <w:sz w:val="24"/>
          <w:szCs w:val="24"/>
        </w:rPr>
      </w:pPr>
    </w:p>
    <w:p w:rsidR="008C7469" w:rsidRPr="00521ABB" w:rsidRDefault="00C959A4" w:rsidP="008C7469">
      <w:pPr>
        <w:spacing w:after="0"/>
        <w:jc w:val="both"/>
        <w:rPr>
          <w:rFonts w:ascii="Garamond" w:hAnsi="Garamond" w:cs="Arial"/>
          <w:b/>
          <w:sz w:val="24"/>
          <w:szCs w:val="24"/>
        </w:rPr>
      </w:pPr>
      <w:r>
        <w:rPr>
          <w:rFonts w:ascii="Garamond" w:hAnsi="Garamond" w:cs="Arial"/>
          <w:b/>
          <w:sz w:val="24"/>
          <w:szCs w:val="24"/>
        </w:rPr>
        <w:t>Traditions in Medicine: B</w:t>
      </w:r>
      <w:r w:rsidR="008C7469" w:rsidRPr="00521ABB">
        <w:rPr>
          <w:rFonts w:ascii="Garamond" w:hAnsi="Garamond" w:cs="Arial"/>
          <w:b/>
          <w:sz w:val="24"/>
          <w:szCs w:val="24"/>
        </w:rPr>
        <w:t>ack to Hippocrates</w:t>
      </w:r>
    </w:p>
    <w:p w:rsidR="008C7469" w:rsidRPr="00FD770B" w:rsidRDefault="008C7469" w:rsidP="008C7469">
      <w:pPr>
        <w:spacing w:after="0"/>
        <w:jc w:val="both"/>
        <w:rPr>
          <w:rFonts w:ascii="Garamond" w:hAnsi="Garamond" w:cs="Arial"/>
          <w:i/>
          <w:sz w:val="24"/>
          <w:szCs w:val="24"/>
        </w:rPr>
      </w:pPr>
    </w:p>
    <w:p w:rsidR="008C7469" w:rsidRPr="00FD770B" w:rsidRDefault="008C7469" w:rsidP="008C7469">
      <w:pPr>
        <w:pStyle w:val="NormalWeb"/>
        <w:spacing w:before="0" w:beforeAutospacing="0" w:after="0" w:afterAutospacing="0"/>
        <w:jc w:val="both"/>
        <w:rPr>
          <w:rFonts w:ascii="Garamond" w:hAnsi="Garamond" w:cs="Arial"/>
        </w:rPr>
      </w:pPr>
      <w:r w:rsidRPr="00FD770B">
        <w:rPr>
          <w:rFonts w:ascii="Garamond" w:hAnsi="Garamond" w:cs="Arial"/>
        </w:rPr>
        <w:t>As many will know, the Hippocratic corpus contains one of the earliest accounts of the doctor’s duty of care for their patient’s confidentiality:</w:t>
      </w:r>
    </w:p>
    <w:p w:rsidR="008C7469" w:rsidRPr="00FD770B" w:rsidRDefault="008C7469" w:rsidP="008C7469">
      <w:pPr>
        <w:pStyle w:val="NormalWeb"/>
        <w:spacing w:before="0" w:beforeAutospacing="0" w:after="0" w:afterAutospacing="0"/>
        <w:jc w:val="both"/>
        <w:rPr>
          <w:rFonts w:ascii="Garamond" w:hAnsi="Garamond" w:cs="Arial"/>
        </w:rPr>
      </w:pPr>
    </w:p>
    <w:p w:rsidR="008C7469" w:rsidRPr="00FD770B" w:rsidRDefault="008C7469" w:rsidP="00521ABB">
      <w:pPr>
        <w:pStyle w:val="NormalWeb"/>
        <w:tabs>
          <w:tab w:val="left" w:pos="9639"/>
          <w:tab w:val="left" w:pos="9781"/>
        </w:tabs>
        <w:spacing w:before="0" w:beforeAutospacing="0" w:after="0" w:afterAutospacing="0"/>
        <w:ind w:left="567" w:right="827"/>
        <w:jc w:val="both"/>
        <w:rPr>
          <w:rFonts w:ascii="Garamond" w:hAnsi="Garamond"/>
          <w:i/>
          <w:lang w:val="en"/>
        </w:rPr>
      </w:pPr>
      <w:r w:rsidRPr="00FD770B">
        <w:rPr>
          <w:rFonts w:ascii="Garamond" w:hAnsi="Garamond" w:cs="Arial"/>
        </w:rPr>
        <w:t>“</w:t>
      </w:r>
      <w:r w:rsidRPr="00FD770B">
        <w:rPr>
          <w:rFonts w:ascii="Garamond" w:hAnsi="Garamond"/>
          <w:i/>
          <w:lang w:val="en"/>
        </w:rPr>
        <w:t xml:space="preserve">.. </w:t>
      </w:r>
      <w:proofErr w:type="gramStart"/>
      <w:r w:rsidRPr="00FD770B">
        <w:rPr>
          <w:rFonts w:ascii="Garamond" w:hAnsi="Garamond"/>
          <w:i/>
          <w:lang w:val="en"/>
        </w:rPr>
        <w:t>whatsoever</w:t>
      </w:r>
      <w:proofErr w:type="gramEnd"/>
      <w:r w:rsidRPr="00FD770B">
        <w:rPr>
          <w:rFonts w:ascii="Garamond" w:hAnsi="Garamond"/>
          <w:i/>
          <w:lang w:val="en"/>
        </w:rPr>
        <w:t xml:space="preserve"> I shall see or hear in the course of my profession, as well as outside my profession in my intercourse with men, if it be what should not be published abroad, I will never divulge, holding such things to be holy secrets”</w:t>
      </w:r>
    </w:p>
    <w:p w:rsidR="008C7469" w:rsidRPr="00FD770B" w:rsidRDefault="008C7469" w:rsidP="008C7469">
      <w:pPr>
        <w:pStyle w:val="NormalWeb"/>
        <w:spacing w:before="0" w:beforeAutospacing="0" w:after="0" w:afterAutospacing="0"/>
        <w:jc w:val="both"/>
        <w:rPr>
          <w:rFonts w:ascii="Garamond" w:hAnsi="Garamond"/>
          <w:i/>
          <w:lang w:val="en"/>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This duty to keep secrets in medical care has been the subject of debate since first articulated (Ferguson, 2016). The duty of confidentiality has been described as ‘an intransigent and absolute obligation’ (</w:t>
      </w:r>
      <w:proofErr w:type="spellStart"/>
      <w:r w:rsidRPr="00FD770B">
        <w:rPr>
          <w:rFonts w:ascii="Garamond" w:hAnsi="Garamond" w:cs="Arial"/>
          <w:sz w:val="24"/>
          <w:szCs w:val="24"/>
        </w:rPr>
        <w:t>Kottow</w:t>
      </w:r>
      <w:proofErr w:type="spellEnd"/>
      <w:r w:rsidRPr="00FD770B">
        <w:rPr>
          <w:rFonts w:ascii="Garamond" w:hAnsi="Garamond" w:cs="Arial"/>
          <w:sz w:val="24"/>
          <w:szCs w:val="24"/>
        </w:rPr>
        <w:t xml:space="preserve">, 1986); as a ‘fundamental </w:t>
      </w:r>
      <w:r w:rsidR="00521ABB" w:rsidRPr="00FD770B">
        <w:rPr>
          <w:rFonts w:ascii="Garamond" w:hAnsi="Garamond" w:cs="Arial"/>
          <w:sz w:val="24"/>
          <w:szCs w:val="24"/>
        </w:rPr>
        <w:t>tenant (</w:t>
      </w:r>
      <w:r w:rsidRPr="00FD770B">
        <w:rPr>
          <w:rFonts w:ascii="Garamond" w:hAnsi="Garamond" w:cs="Arial"/>
          <w:sz w:val="24"/>
          <w:szCs w:val="24"/>
        </w:rPr>
        <w:t xml:space="preserve">sic) of the physician-patient relationship (Self, 2011); and as ‘a decrepit concept’ </w:t>
      </w:r>
      <w:r w:rsidR="00F30B72" w:rsidRPr="00FD770B">
        <w:rPr>
          <w:rFonts w:ascii="Garamond" w:hAnsi="Garamond" w:cs="Arial"/>
          <w:sz w:val="24"/>
          <w:szCs w:val="24"/>
        </w:rPr>
        <w:t>(</w:t>
      </w:r>
      <w:proofErr w:type="spellStart"/>
      <w:r w:rsidR="00F30B72" w:rsidRPr="00FD770B">
        <w:rPr>
          <w:rFonts w:ascii="Garamond" w:hAnsi="Garamond" w:cs="Arial"/>
          <w:sz w:val="24"/>
          <w:szCs w:val="24"/>
        </w:rPr>
        <w:t>Siegler</w:t>
      </w:r>
      <w:proofErr w:type="spellEnd"/>
      <w:r w:rsidRPr="00FD770B">
        <w:rPr>
          <w:rFonts w:ascii="Garamond" w:hAnsi="Garamond" w:cs="Arial"/>
          <w:sz w:val="24"/>
          <w:szCs w:val="24"/>
        </w:rPr>
        <w:t xml:space="preserve">, 1982). </w:t>
      </w:r>
      <w:proofErr w:type="spellStart"/>
      <w:r w:rsidRPr="00FD770B">
        <w:rPr>
          <w:rFonts w:ascii="Garamond" w:hAnsi="Garamond" w:cs="Arial"/>
          <w:sz w:val="24"/>
          <w:szCs w:val="24"/>
        </w:rPr>
        <w:t>Moskop</w:t>
      </w:r>
      <w:proofErr w:type="spellEnd"/>
      <w:r w:rsidRPr="00FD770B">
        <w:rPr>
          <w:rFonts w:ascii="Garamond" w:hAnsi="Garamond" w:cs="Arial"/>
          <w:sz w:val="24"/>
          <w:szCs w:val="24"/>
        </w:rPr>
        <w:t xml:space="preserve"> et al (2005) link confidentiality with privacy, defined as the right to be left alone; Saunders (2016) states that confidentiality ‘means restricting the circulation of information’. The Hippocratic passage itself implies a distinction between information that ‘should be published abroad’ and information that resembles a ‘holy secret’.</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The justification for the duty of confidentiality is not set out in the Hippocratic Corpus. We are left to infer that the keeping of secrets is beneficial to the patient in some way, although it is not immediately clear how. One possibility is that disclosure of information about sickness may have had a negative impact on the value of slaves or women in the household; or (given that the heads of households owned their families</w:t>
      </w:r>
      <w:r w:rsidR="00797334" w:rsidRPr="00FD770B">
        <w:rPr>
          <w:rFonts w:ascii="Garamond" w:hAnsi="Garamond" w:cs="Arial"/>
          <w:sz w:val="24"/>
          <w:szCs w:val="24"/>
        </w:rPr>
        <w:t>) that</w:t>
      </w:r>
      <w:r w:rsidRPr="00FD770B">
        <w:rPr>
          <w:rFonts w:ascii="Garamond" w:hAnsi="Garamond" w:cs="Arial"/>
          <w:sz w:val="24"/>
          <w:szCs w:val="24"/>
        </w:rPr>
        <w:t xml:space="preserve"> people who were sick might be actually at risk from a brutal master if their illness was discovered. Unwanted or unanticipated pregnancies might have considerable social impact in terms of a woman’s value in terms of marriageability. Some diagnoses, like leprosy, might be particularly stigmatising in society; one thinks here of the modern equivalent of the discovery of HIV and the effect of AIDs on communities in different countries. </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Ferguson (2016) describes the history of the debates about confidentiality in medicine; and comments on the tension between duties to individual patients and the duty to public health and communities. This tension grew in the nineteenth centuries with greater attention to infection control and the prevention of communicable diseases like venereal disease. Ferguson reviews the role of the law in both protecting and undermining medical </w:t>
      </w:r>
      <w:r w:rsidRPr="00FD770B">
        <w:rPr>
          <w:rFonts w:ascii="Garamond" w:hAnsi="Garamond" w:cs="Arial"/>
          <w:sz w:val="24"/>
          <w:szCs w:val="24"/>
        </w:rPr>
        <w:lastRenderedPageBreak/>
        <w:t>privilege in relation to information obtained in a therapeutic context; and observes that most doctors accept that the duty to preserve confidences should yield to the duty to support the process of law.</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The key arguments in favour of confidentiality rely on the value of trust and transparency in medical consultations. Many diseases involve body parts or </w:t>
      </w:r>
      <w:proofErr w:type="gramStart"/>
      <w:r w:rsidRPr="00FD770B">
        <w:rPr>
          <w:rFonts w:ascii="Garamond" w:hAnsi="Garamond" w:cs="Arial"/>
          <w:sz w:val="24"/>
          <w:szCs w:val="24"/>
        </w:rPr>
        <w:t>function which are</w:t>
      </w:r>
      <w:proofErr w:type="gramEnd"/>
      <w:r w:rsidRPr="00FD770B">
        <w:rPr>
          <w:rFonts w:ascii="Garamond" w:hAnsi="Garamond" w:cs="Arial"/>
          <w:sz w:val="24"/>
          <w:szCs w:val="24"/>
        </w:rPr>
        <w:t xml:space="preserve"> thought of as unclean or shameful, and the medical consultation is one transaction where normal social rules about shame do not apply.  If people know that doctors will keep their private vulnerabilities to themselves, then they may feel confident (that same word!) to share important information with the doctor, and such sharing is vital for the clinical process to be accurate and function properly.</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The establishment of trust is also crucial in those situations where there are significant discrepancies of power and mutuality of need. The doctor has specialist knowledge that the patient does not; the patient takes a risk to expose their vulnerabilities, both physical and mental with a person who then has the power to exploit that vulnerability. Someone who is suffering and seeks care must put themselves in some degree of vulnerability, vis-à-vis the doctor, but this process is eased and enabled by a relationship of trust that the doctor will not exploit any vulnerability or private knowledge for personal gain. Establishing a professional duty to keep secrets might control any tendency to exploit others in unscrupulous doctors; it might also control a very human tendency to tell stories and gossip about the people they have seen. In small communities, such stories are currency which has emotional heft; gossip can cause real damage and distress in a short time and a duty to keep secrets helps limit the risk of this.</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The duty of medical confidentiality has endured down the centuries and it is one of the few ethical principles that nearly everyone is aware of. It is often used as a key plot point in many novels and dramas, and it is an ethical duty that marks doctors out, along with lawyers and priests. However, modern approaches to information management have challenged and changed traditional ways of thinking about confidentiality.</w:t>
      </w:r>
    </w:p>
    <w:p w:rsidR="008C7469" w:rsidRPr="00FD770B" w:rsidRDefault="008C7469" w:rsidP="008C7469">
      <w:pPr>
        <w:spacing w:after="0"/>
        <w:jc w:val="both"/>
        <w:rPr>
          <w:rFonts w:ascii="Garamond" w:hAnsi="Garamond" w:cs="Arial"/>
          <w:sz w:val="24"/>
          <w:szCs w:val="24"/>
        </w:rPr>
      </w:pPr>
    </w:p>
    <w:p w:rsidR="008C7469" w:rsidRPr="00521ABB" w:rsidRDefault="00C959A4" w:rsidP="008C7469">
      <w:pPr>
        <w:spacing w:after="0"/>
        <w:jc w:val="both"/>
        <w:rPr>
          <w:rFonts w:ascii="Garamond" w:hAnsi="Garamond" w:cs="Arial"/>
          <w:b/>
          <w:sz w:val="24"/>
          <w:szCs w:val="24"/>
        </w:rPr>
      </w:pPr>
      <w:r>
        <w:rPr>
          <w:rFonts w:ascii="Garamond" w:hAnsi="Garamond" w:cs="Arial"/>
          <w:b/>
          <w:sz w:val="24"/>
          <w:szCs w:val="24"/>
        </w:rPr>
        <w:t>Information as a C</w:t>
      </w:r>
      <w:r w:rsidR="008C7469" w:rsidRPr="00521ABB">
        <w:rPr>
          <w:rFonts w:ascii="Garamond" w:hAnsi="Garamond" w:cs="Arial"/>
          <w:b/>
          <w:sz w:val="24"/>
          <w:szCs w:val="24"/>
        </w:rPr>
        <w:t>ommodity</w:t>
      </w:r>
    </w:p>
    <w:p w:rsidR="008C7469" w:rsidRPr="00FD770B" w:rsidRDefault="008C7469" w:rsidP="008C7469">
      <w:pPr>
        <w:spacing w:after="0"/>
        <w:jc w:val="both"/>
        <w:rPr>
          <w:rFonts w:ascii="Garamond" w:hAnsi="Garamond" w:cs="Arial"/>
          <w:i/>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In the late twentieth and early twenty first centuries, there has been a massive change in the ways that communities think about personal information.  The development of the internet and social media means that personal information can be shared instantly in a variety of ways with others; but can also be misused in different ways, criminal and non-criminal. </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In response, there have been legal developments that have sought to characterise personal information as a possession, over which individuals have a right of control. For example, Article 8 of the European Convention on Human Rights provides for a right to a private life, which includes a right to control personal information about oneself. In Campbell vs MGN Ltd, the court found that disclosure of private medical records was a violation of Article 8 because medical information is part of a person’s private identity, which is owned by that person.</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Information as a personal possession has become a key feature of information governance and the exercise of the Data Protection Act, which regulates how personal information is shared and stored. We each of us ‘own’ our data about ourselves, and this cannot be shared without our consent. Hospitals and GP clinics secure this data on our behalf; and they are bound to keep it safe and not disclose it without our express consent. We can access this data on demand; although we may not automatically access third party data about other people, even if it is on our record. </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Information has become a commodity to be traded and sold, and it can have commercial value in its own right, not just personal value to its owner. For example, the UK government recently sought to get access (without express consent) to all patient data held by GPs to use for research and service planning purposes. Although there was support for the use of unidentifiable data for research purposes, there was considerable opposition to </w:t>
      </w:r>
      <w:r w:rsidRPr="00FD770B">
        <w:rPr>
          <w:rFonts w:ascii="Garamond" w:hAnsi="Garamond" w:cs="Arial"/>
          <w:sz w:val="24"/>
          <w:szCs w:val="24"/>
        </w:rPr>
        <w:lastRenderedPageBreak/>
        <w:t>the plan when it became known that the government intended to charge those services and groups who wanted to use the data.</w:t>
      </w:r>
    </w:p>
    <w:p w:rsidR="008C7469" w:rsidRPr="00FD770B" w:rsidRDefault="008C7469" w:rsidP="008C7469">
      <w:pPr>
        <w:spacing w:after="0"/>
        <w:jc w:val="both"/>
        <w:rPr>
          <w:rFonts w:ascii="Garamond" w:hAnsi="Garamond" w:cs="Arial"/>
          <w:sz w:val="24"/>
          <w:szCs w:val="24"/>
        </w:rPr>
      </w:pPr>
    </w:p>
    <w:p w:rsidR="008C7469" w:rsidRPr="00521ABB" w:rsidRDefault="00C959A4" w:rsidP="008C7469">
      <w:pPr>
        <w:spacing w:after="0"/>
        <w:jc w:val="both"/>
        <w:rPr>
          <w:rFonts w:ascii="Garamond" w:hAnsi="Garamond" w:cs="Arial"/>
          <w:b/>
          <w:sz w:val="24"/>
          <w:szCs w:val="24"/>
        </w:rPr>
      </w:pPr>
      <w:r>
        <w:rPr>
          <w:rFonts w:ascii="Garamond" w:hAnsi="Garamond" w:cs="Arial"/>
          <w:b/>
          <w:sz w:val="24"/>
          <w:szCs w:val="24"/>
        </w:rPr>
        <w:t>Challenges to C</w:t>
      </w:r>
      <w:r w:rsidR="008C7469" w:rsidRPr="00521ABB">
        <w:rPr>
          <w:rFonts w:ascii="Garamond" w:hAnsi="Garamond" w:cs="Arial"/>
          <w:b/>
          <w:sz w:val="24"/>
          <w:szCs w:val="24"/>
        </w:rPr>
        <w:t xml:space="preserve">onfidentiality: </w:t>
      </w:r>
      <w:r>
        <w:rPr>
          <w:rFonts w:ascii="Garamond" w:hAnsi="Garamond" w:cs="Arial"/>
          <w:b/>
          <w:sz w:val="24"/>
          <w:szCs w:val="24"/>
        </w:rPr>
        <w:t>Risk and Risk M</w:t>
      </w:r>
      <w:r w:rsidR="008C7469" w:rsidRPr="00521ABB">
        <w:rPr>
          <w:rFonts w:ascii="Garamond" w:hAnsi="Garamond" w:cs="Arial"/>
          <w:b/>
          <w:sz w:val="24"/>
          <w:szCs w:val="24"/>
        </w:rPr>
        <w:t>anagement</w:t>
      </w:r>
    </w:p>
    <w:p w:rsidR="008C7469" w:rsidRPr="00FD770B" w:rsidRDefault="008C7469" w:rsidP="008C7469">
      <w:pPr>
        <w:spacing w:after="0"/>
        <w:jc w:val="both"/>
        <w:rPr>
          <w:rFonts w:ascii="Garamond" w:hAnsi="Garamond" w:cs="Arial"/>
          <w:i/>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Debates about the limits of confidentiality have become more vigorous and more nuanced as public health has developed as a specialty, and as medical services operate in communities, and not just as private transactions. The first and most obvious challenge is when the doctor learns something in the medical consultation that suggests that the patient’s condition could put other people at risk of physical harm. The risk of harm may be uncertain, indirect and unintended (such as contagion) and the inference is that the patient is an unwitting source of risk to others. Ideally, the doctor explains to the patient that others might be at risk and seeks permission to let those others know so they can be kept safe; and ideally the patient says ‘Of course, I understand they need to know: will you tell them or shall I?</w:t>
      </w:r>
      <w:r w:rsidR="001A4370" w:rsidRPr="00FD770B">
        <w:rPr>
          <w:rFonts w:ascii="Garamond" w:hAnsi="Garamond" w:cs="Arial"/>
          <w:sz w:val="24"/>
          <w:szCs w:val="24"/>
        </w:rPr>
        <w:t>’</w:t>
      </w:r>
      <w:r w:rsidRPr="00FD770B">
        <w:rPr>
          <w:rFonts w:ascii="Garamond" w:hAnsi="Garamond" w:cs="Arial"/>
          <w:sz w:val="24"/>
          <w:szCs w:val="24"/>
        </w:rPr>
        <w:t xml:space="preserve"> The doctor and patient arrange what information is to be </w:t>
      </w:r>
      <w:r w:rsidR="001A4370">
        <w:rPr>
          <w:rFonts w:ascii="Garamond" w:hAnsi="Garamond" w:cs="Arial"/>
          <w:sz w:val="24"/>
          <w:szCs w:val="24"/>
        </w:rPr>
        <w:t>shared and how; the patient and</w:t>
      </w:r>
      <w:r w:rsidRPr="00FD770B">
        <w:rPr>
          <w:rFonts w:ascii="Garamond" w:hAnsi="Garamond" w:cs="Arial"/>
          <w:sz w:val="24"/>
          <w:szCs w:val="24"/>
        </w:rPr>
        <w:t xml:space="preserve">/or doctor </w:t>
      </w:r>
      <w:proofErr w:type="gramStart"/>
      <w:r w:rsidRPr="00FD770B">
        <w:rPr>
          <w:rFonts w:ascii="Garamond" w:hAnsi="Garamond" w:cs="Arial"/>
          <w:sz w:val="24"/>
          <w:szCs w:val="24"/>
        </w:rPr>
        <w:t>is</w:t>
      </w:r>
      <w:proofErr w:type="gramEnd"/>
      <w:r w:rsidRPr="00FD770B">
        <w:rPr>
          <w:rFonts w:ascii="Garamond" w:hAnsi="Garamond" w:cs="Arial"/>
          <w:sz w:val="24"/>
          <w:szCs w:val="24"/>
        </w:rPr>
        <w:t xml:space="preserve"> kept abreast of all discussions; the risk to others is reduced; and all is well.</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But as will be obvious, the discussions do not always go this way. People may decide that they do not want to share information even if it would reduce risk to others; and they may expressly forbid doctors to share the information. The patient continues to present a risk to others; yet the public has no apparent claim on that information, even though the risk materially affects them. The doctor must manage an anxiety about the knowledge about risk of harm to </w:t>
      </w:r>
      <w:proofErr w:type="gramStart"/>
      <w:r w:rsidRPr="00FD770B">
        <w:rPr>
          <w:rFonts w:ascii="Garamond" w:hAnsi="Garamond" w:cs="Arial"/>
          <w:sz w:val="24"/>
          <w:szCs w:val="24"/>
        </w:rPr>
        <w:t>others,</w:t>
      </w:r>
      <w:proofErr w:type="gramEnd"/>
      <w:r w:rsidRPr="00FD770B">
        <w:rPr>
          <w:rFonts w:ascii="Garamond" w:hAnsi="Garamond" w:cs="Arial"/>
          <w:sz w:val="24"/>
          <w:szCs w:val="24"/>
        </w:rPr>
        <w:t xml:space="preserve"> and an anxiety about the patient’s attitude to risk sharing; so that the duty to respect patient confidentiality leads to an anxiety about how to deal with a real clash of values in the domains of professional and public interests and duties.</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In the 1980s, in response to the concerns about the impact of HIV and AIDs on the community, the GMC issued guidance to doctors, stating that they could disclose patient information to other identified individuals who might be at risk, even in the face of a flat refusal by the patient; if that disclosure would reduce the risk of harm to that individual. The ethical argument appears to be a trumping of one value over another; the value of reducing risk of harm outweighs the value of preserving confidential information. But I wonder if the GMC was also expressing a position about respect for human dignity and compassion by suggesting that doctors are not obligated to respect a decision which is unreasonable insofar as it costs little to the individual, but is high cost to others in terms of risk of harm, and deception by omission.</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This example echoes Judith Jarvis Thompson’s defence of abortion (1976); in which she famously makes an analogy between pregnancy and a thought experiment about body sharing. In the experiment, she imagines the experience of a person who wakes up one day to find they are in hospital, and that a famous and valuable violinist is sharing their kidneys via a dialysis machine. The hospital authorities explain that the arrangement will only be for a few months, but without it, the violinist will die. Jarvis Thompson suggests that arguments against abortion force pregnant women to be Good Samaritans, especially where the pregnancy is unplanned or the result of coercion.  However, she does suggest that there may be a duty to be a Minimally Helpful Samaritan; and a refusal to be minimally helpful to others may be seen as morally unacceptable </w:t>
      </w:r>
      <w:r w:rsidR="001A4370" w:rsidRPr="00FD770B">
        <w:rPr>
          <w:rFonts w:ascii="Garamond" w:hAnsi="Garamond" w:cs="Arial"/>
          <w:sz w:val="24"/>
          <w:szCs w:val="24"/>
        </w:rPr>
        <w:t>i.e.</w:t>
      </w:r>
      <w:r w:rsidRPr="00FD770B">
        <w:rPr>
          <w:rFonts w:ascii="Garamond" w:hAnsi="Garamond" w:cs="Arial"/>
          <w:sz w:val="24"/>
          <w:szCs w:val="24"/>
        </w:rPr>
        <w:t xml:space="preserve"> if you can help someone with little cost to yourself, then you should do so. </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This argument resembles the one advanced above in relation to refusal to disclose information that might reduce risk to others. If disclosure of personal information has little personal cost to the individual patient but might preserve another person’s wellbeing, then refusal to disclose seems unreasonable. On this argument, the duty to respect confidences needs to give way to the duty to be a Minimally Helpful Samaritan.</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Jarvis Thompson’s example describes a common situation in medicine which challenges the traditional concept of the therapeutic consultation as purely a relationship between two parties, the doctor and the patient. It is rare for medical consultations not to involve the patient’s wider circle of relationships. In practice, many (if not most) medical consultations involve thinking about the matrix of relationships in which people live and </w:t>
      </w:r>
      <w:r w:rsidRPr="00FD770B">
        <w:rPr>
          <w:rFonts w:ascii="Garamond" w:hAnsi="Garamond" w:cs="Arial"/>
          <w:sz w:val="24"/>
          <w:szCs w:val="24"/>
        </w:rPr>
        <w:lastRenderedPageBreak/>
        <w:t>function. Those who work in obstetrics must address a context where two people’s lives are bound up together in a complex and on-going way; those who work in paediatrics or old age medicine must consider the other adults on whom the index patient depends for their wellbeing and flourishing. I want now to consider the dilemmas that arise when therapeutic consultations make doctors aware that another person in the patient’s social circle is at risk from them.</w:t>
      </w:r>
    </w:p>
    <w:p w:rsidR="008C7469" w:rsidRPr="00FD770B" w:rsidRDefault="008C7469" w:rsidP="008C7469">
      <w:pPr>
        <w:spacing w:after="0"/>
        <w:jc w:val="both"/>
        <w:rPr>
          <w:rFonts w:ascii="Garamond" w:hAnsi="Garamond" w:cs="Arial"/>
          <w:sz w:val="24"/>
          <w:szCs w:val="24"/>
        </w:rPr>
      </w:pPr>
    </w:p>
    <w:p w:rsidR="008C7469" w:rsidRPr="00521ABB" w:rsidRDefault="00C959A4" w:rsidP="008C7469">
      <w:pPr>
        <w:spacing w:after="0"/>
        <w:jc w:val="both"/>
        <w:rPr>
          <w:rFonts w:ascii="Garamond" w:hAnsi="Garamond" w:cs="Arial"/>
          <w:b/>
          <w:sz w:val="24"/>
          <w:szCs w:val="24"/>
        </w:rPr>
      </w:pPr>
      <w:r>
        <w:rPr>
          <w:rFonts w:ascii="Garamond" w:hAnsi="Garamond" w:cs="Arial"/>
          <w:b/>
          <w:sz w:val="24"/>
          <w:szCs w:val="24"/>
        </w:rPr>
        <w:t>Clear and P</w:t>
      </w:r>
      <w:r w:rsidR="008C7469" w:rsidRPr="00521ABB">
        <w:rPr>
          <w:rFonts w:ascii="Garamond" w:hAnsi="Garamond" w:cs="Arial"/>
          <w:b/>
          <w:sz w:val="24"/>
          <w:szCs w:val="24"/>
        </w:rPr>
        <w:t xml:space="preserve">resent </w:t>
      </w:r>
      <w:r>
        <w:rPr>
          <w:rFonts w:ascii="Garamond" w:hAnsi="Garamond" w:cs="Arial"/>
          <w:b/>
          <w:sz w:val="24"/>
          <w:szCs w:val="24"/>
        </w:rPr>
        <w:t>D</w:t>
      </w:r>
      <w:r w:rsidR="008C7469" w:rsidRPr="00521ABB">
        <w:rPr>
          <w:rFonts w:ascii="Garamond" w:hAnsi="Garamond" w:cs="Arial"/>
          <w:b/>
          <w:sz w:val="24"/>
          <w:szCs w:val="24"/>
        </w:rPr>
        <w:t xml:space="preserve">anger: </w:t>
      </w:r>
      <w:r>
        <w:rPr>
          <w:rFonts w:ascii="Garamond" w:hAnsi="Garamond" w:cs="Arial"/>
          <w:b/>
          <w:sz w:val="24"/>
          <w:szCs w:val="24"/>
        </w:rPr>
        <w:t>D</w:t>
      </w:r>
      <w:r w:rsidR="008C7469" w:rsidRPr="00521ABB">
        <w:rPr>
          <w:rFonts w:ascii="Garamond" w:hAnsi="Garamond" w:cs="Arial"/>
          <w:b/>
          <w:sz w:val="24"/>
          <w:szCs w:val="24"/>
        </w:rPr>
        <w:t xml:space="preserve">irect </w:t>
      </w:r>
      <w:r>
        <w:rPr>
          <w:rFonts w:ascii="Garamond" w:hAnsi="Garamond" w:cs="Arial"/>
          <w:b/>
          <w:sz w:val="24"/>
          <w:szCs w:val="24"/>
        </w:rPr>
        <w:t>R</w:t>
      </w:r>
      <w:r w:rsidR="008C7469" w:rsidRPr="00521ABB">
        <w:rPr>
          <w:rFonts w:ascii="Garamond" w:hAnsi="Garamond" w:cs="Arial"/>
          <w:b/>
          <w:sz w:val="24"/>
          <w:szCs w:val="24"/>
        </w:rPr>
        <w:t xml:space="preserve">isk of </w:t>
      </w:r>
      <w:r>
        <w:rPr>
          <w:rFonts w:ascii="Garamond" w:hAnsi="Garamond" w:cs="Arial"/>
          <w:b/>
          <w:sz w:val="24"/>
          <w:szCs w:val="24"/>
        </w:rPr>
        <w:t>H</w:t>
      </w:r>
      <w:r w:rsidR="008C7469" w:rsidRPr="00521ABB">
        <w:rPr>
          <w:rFonts w:ascii="Garamond" w:hAnsi="Garamond" w:cs="Arial"/>
          <w:b/>
          <w:sz w:val="24"/>
          <w:szCs w:val="24"/>
        </w:rPr>
        <w:t>arm</w:t>
      </w:r>
    </w:p>
    <w:p w:rsidR="008C7469" w:rsidRPr="00FD770B" w:rsidRDefault="008C7469" w:rsidP="008C7469">
      <w:pPr>
        <w:spacing w:after="0"/>
        <w:jc w:val="both"/>
        <w:rPr>
          <w:rFonts w:ascii="Garamond" w:hAnsi="Garamond" w:cs="Arial"/>
          <w:i/>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What should a doctor do if a patient discloses to them that they want to harm another person; or are acting in ways that are harmful to others? Traditional accounts of confidentiality suggest that doctors cannot disclose it to anyone; unless they have the patient’s consent to do so. </w:t>
      </w:r>
      <w:proofErr w:type="gramStart"/>
      <w:r w:rsidRPr="00FD770B">
        <w:rPr>
          <w:rFonts w:ascii="Garamond" w:hAnsi="Garamond" w:cs="Arial"/>
          <w:sz w:val="24"/>
          <w:szCs w:val="24"/>
        </w:rPr>
        <w:t>If the patient refuses to disclose, then the doctor must engage in ethical reflection about what to do for the best; while aware that in these situations there may be no single or obvious ‘good’ outcome.</w:t>
      </w:r>
      <w:proofErr w:type="gramEnd"/>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Making a decision here is complex because there is often real uncertainty about the nature of the risk; and the uncertainty itself makes people anxious; and when people are anxious they do not make good decisions. The statement ‘He has threatened to harm X’ is one that can be understood and interpreted in different ways depending on the context and the way the content is communicated. I am often asked to see young men who describe having violent thoughts and images in their minds; and who have been seen with weapons or behaving oddly. In one case, I heard the young man express anxiety about his thoughts and a wish not to harm anyone, and there was a rational explanation for his possession of a weapon: he was an apprentice chef. In another case, the young man was ex-military, he did not seem at all concerned about his thoughts, and he had no explanation for why he was wandering near his mother’s house with a knife. It may seem blindingly obvious, but context and meaning are crucial here in terms of talking to a person about risk and disclosure of risk.</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This issue was legally addressed in the USA in a case involving a girl called Tatiana </w:t>
      </w:r>
      <w:proofErr w:type="spellStart"/>
      <w:r w:rsidRPr="00FD770B">
        <w:rPr>
          <w:rFonts w:ascii="Garamond" w:hAnsi="Garamond" w:cs="Arial"/>
          <w:sz w:val="24"/>
          <w:szCs w:val="24"/>
        </w:rPr>
        <w:t>Tarasoff</w:t>
      </w:r>
      <w:proofErr w:type="spellEnd"/>
      <w:r w:rsidRPr="00FD770B">
        <w:rPr>
          <w:rFonts w:ascii="Garamond" w:hAnsi="Garamond" w:cs="Arial"/>
          <w:sz w:val="24"/>
          <w:szCs w:val="24"/>
        </w:rPr>
        <w:t xml:space="preserve">, who was a student at Berkeley. She had a brief relationship with a young student from India, called Mr </w:t>
      </w:r>
      <w:proofErr w:type="spellStart"/>
      <w:r w:rsidRPr="00FD770B">
        <w:rPr>
          <w:rFonts w:ascii="Garamond" w:hAnsi="Garamond" w:cs="Arial"/>
          <w:sz w:val="24"/>
          <w:szCs w:val="24"/>
        </w:rPr>
        <w:t>Poddar</w:t>
      </w:r>
      <w:proofErr w:type="spellEnd"/>
      <w:r w:rsidRPr="00FD770B">
        <w:rPr>
          <w:rFonts w:ascii="Garamond" w:hAnsi="Garamond" w:cs="Arial"/>
          <w:sz w:val="24"/>
          <w:szCs w:val="24"/>
        </w:rPr>
        <w:t xml:space="preserve">; but she broke it off when she realised that he had fallen deeply in love with her. Mr </w:t>
      </w:r>
      <w:proofErr w:type="spellStart"/>
      <w:r w:rsidRPr="00FD770B">
        <w:rPr>
          <w:rFonts w:ascii="Garamond" w:hAnsi="Garamond" w:cs="Arial"/>
          <w:sz w:val="24"/>
          <w:szCs w:val="24"/>
        </w:rPr>
        <w:t>Poddar</w:t>
      </w:r>
      <w:proofErr w:type="spellEnd"/>
      <w:r w:rsidRPr="00FD770B">
        <w:rPr>
          <w:rFonts w:ascii="Garamond" w:hAnsi="Garamond" w:cs="Arial"/>
          <w:sz w:val="24"/>
          <w:szCs w:val="24"/>
        </w:rPr>
        <w:t xml:space="preserve"> began to stalk Miss </w:t>
      </w:r>
      <w:proofErr w:type="spellStart"/>
      <w:r w:rsidRPr="00FD770B">
        <w:rPr>
          <w:rFonts w:ascii="Garamond" w:hAnsi="Garamond" w:cs="Arial"/>
          <w:sz w:val="24"/>
          <w:szCs w:val="24"/>
        </w:rPr>
        <w:t>Tarasoff</w:t>
      </w:r>
      <w:proofErr w:type="spellEnd"/>
      <w:r w:rsidRPr="00FD770B">
        <w:rPr>
          <w:rFonts w:ascii="Garamond" w:hAnsi="Garamond" w:cs="Arial"/>
          <w:sz w:val="24"/>
          <w:szCs w:val="24"/>
        </w:rPr>
        <w:t xml:space="preserve">; he also fell into a deep depression and went for therapy to the University counselling service. There he told the therapist that he wanted to kill Miss </w:t>
      </w:r>
      <w:proofErr w:type="spellStart"/>
      <w:r w:rsidRPr="00FD770B">
        <w:rPr>
          <w:rFonts w:ascii="Garamond" w:hAnsi="Garamond" w:cs="Arial"/>
          <w:sz w:val="24"/>
          <w:szCs w:val="24"/>
        </w:rPr>
        <w:t>Tarasoff</w:t>
      </w:r>
      <w:proofErr w:type="spellEnd"/>
      <w:r w:rsidRPr="00FD770B">
        <w:rPr>
          <w:rFonts w:ascii="Garamond" w:hAnsi="Garamond" w:cs="Arial"/>
          <w:sz w:val="24"/>
          <w:szCs w:val="24"/>
        </w:rPr>
        <w:t xml:space="preserve"> if she would not reciprocate his love. He then dropped out of therapy; and the counsellor contacted the campus police, sharing concerns about the risk Mr </w:t>
      </w:r>
      <w:proofErr w:type="spellStart"/>
      <w:r w:rsidRPr="00FD770B">
        <w:rPr>
          <w:rFonts w:ascii="Garamond" w:hAnsi="Garamond" w:cs="Arial"/>
          <w:sz w:val="24"/>
          <w:szCs w:val="24"/>
        </w:rPr>
        <w:t>Poddar</w:t>
      </w:r>
      <w:proofErr w:type="spellEnd"/>
      <w:r w:rsidRPr="00FD770B">
        <w:rPr>
          <w:rFonts w:ascii="Garamond" w:hAnsi="Garamond" w:cs="Arial"/>
          <w:sz w:val="24"/>
          <w:szCs w:val="24"/>
        </w:rPr>
        <w:t xml:space="preserve"> might pose to Miss </w:t>
      </w:r>
      <w:proofErr w:type="spellStart"/>
      <w:r w:rsidRPr="00FD770B">
        <w:rPr>
          <w:rFonts w:ascii="Garamond" w:hAnsi="Garamond" w:cs="Arial"/>
          <w:sz w:val="24"/>
          <w:szCs w:val="24"/>
        </w:rPr>
        <w:t>Tarasoff</w:t>
      </w:r>
      <w:proofErr w:type="spellEnd"/>
      <w:r w:rsidRPr="00FD770B">
        <w:rPr>
          <w:rFonts w:ascii="Garamond" w:hAnsi="Garamond" w:cs="Arial"/>
          <w:sz w:val="24"/>
          <w:szCs w:val="24"/>
        </w:rPr>
        <w:t xml:space="preserve">. The police spoke to Mr </w:t>
      </w:r>
      <w:proofErr w:type="spellStart"/>
      <w:r w:rsidRPr="00FD770B">
        <w:rPr>
          <w:rFonts w:ascii="Garamond" w:hAnsi="Garamond" w:cs="Arial"/>
          <w:sz w:val="24"/>
          <w:szCs w:val="24"/>
        </w:rPr>
        <w:t>Poddar</w:t>
      </w:r>
      <w:proofErr w:type="spellEnd"/>
      <w:r w:rsidRPr="00FD770B">
        <w:rPr>
          <w:rFonts w:ascii="Garamond" w:hAnsi="Garamond" w:cs="Arial"/>
          <w:sz w:val="24"/>
          <w:szCs w:val="24"/>
        </w:rPr>
        <w:t xml:space="preserve">, who denied any intent to harm Ms </w:t>
      </w:r>
      <w:proofErr w:type="spellStart"/>
      <w:r w:rsidRPr="00FD770B">
        <w:rPr>
          <w:rFonts w:ascii="Garamond" w:hAnsi="Garamond" w:cs="Arial"/>
          <w:sz w:val="24"/>
          <w:szCs w:val="24"/>
        </w:rPr>
        <w:t>Tarasoff</w:t>
      </w:r>
      <w:proofErr w:type="spellEnd"/>
      <w:r w:rsidRPr="00FD770B">
        <w:rPr>
          <w:rFonts w:ascii="Garamond" w:hAnsi="Garamond" w:cs="Arial"/>
          <w:sz w:val="24"/>
          <w:szCs w:val="24"/>
        </w:rPr>
        <w:t>; which sadly turned out not be true when he stabbed and shot her three weeks later. He was found not guilty by reason of insanity and returned to his native country after some time as a patient in a secure hospital in the USA.</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i/>
          <w:sz w:val="24"/>
          <w:szCs w:val="24"/>
        </w:rPr>
      </w:pPr>
      <w:r w:rsidRPr="00FD770B">
        <w:rPr>
          <w:rFonts w:ascii="Garamond" w:hAnsi="Garamond" w:cs="Arial"/>
          <w:sz w:val="24"/>
          <w:szCs w:val="24"/>
        </w:rPr>
        <w:t xml:space="preserve">Ms </w:t>
      </w:r>
      <w:proofErr w:type="spellStart"/>
      <w:r w:rsidRPr="00FD770B">
        <w:rPr>
          <w:rFonts w:ascii="Garamond" w:hAnsi="Garamond" w:cs="Arial"/>
          <w:sz w:val="24"/>
          <w:szCs w:val="24"/>
        </w:rPr>
        <w:t>Tarasoff’s</w:t>
      </w:r>
      <w:proofErr w:type="spellEnd"/>
      <w:r w:rsidRPr="00FD770B">
        <w:rPr>
          <w:rFonts w:ascii="Garamond" w:hAnsi="Garamond" w:cs="Arial"/>
          <w:sz w:val="24"/>
          <w:szCs w:val="24"/>
        </w:rPr>
        <w:t xml:space="preserve"> parents sued the University, saying that it had a duty of care to their daughter which was breached by failing to disclose to her the risk she faced from Mr </w:t>
      </w:r>
      <w:proofErr w:type="spellStart"/>
      <w:r w:rsidRPr="00FD770B">
        <w:rPr>
          <w:rFonts w:ascii="Garamond" w:hAnsi="Garamond" w:cs="Arial"/>
          <w:sz w:val="24"/>
          <w:szCs w:val="24"/>
        </w:rPr>
        <w:t>Poddar</w:t>
      </w:r>
      <w:proofErr w:type="spellEnd"/>
      <w:r w:rsidRPr="00FD770B">
        <w:rPr>
          <w:rFonts w:ascii="Garamond" w:hAnsi="Garamond" w:cs="Arial"/>
          <w:sz w:val="24"/>
          <w:szCs w:val="24"/>
        </w:rPr>
        <w:t xml:space="preserve">. The California Supreme Court heard the case twice because the issue was so important.  The question before them was whether the duty to prevent harm to others outweighed the public interest in preserving the duty to protect medical confidences. The answer was a qualified yes:  a health care professional who came to know of a risk to an identifiable person acquired a duty of care to them by that knowledge. Failure to warn or take steps to protect that identifiable victim would constitute </w:t>
      </w:r>
      <w:proofErr w:type="gramStart"/>
      <w:r w:rsidRPr="00FD770B">
        <w:rPr>
          <w:rFonts w:ascii="Garamond" w:hAnsi="Garamond" w:cs="Arial"/>
          <w:sz w:val="24"/>
          <w:szCs w:val="24"/>
        </w:rPr>
        <w:t>a negligence</w:t>
      </w:r>
      <w:proofErr w:type="gramEnd"/>
      <w:r w:rsidRPr="00FD770B">
        <w:rPr>
          <w:rFonts w:ascii="Garamond" w:hAnsi="Garamond" w:cs="Arial"/>
          <w:sz w:val="24"/>
          <w:szCs w:val="24"/>
        </w:rPr>
        <w:t xml:space="preserve"> in law, and damages. As one of the judges put it, ‘</w:t>
      </w:r>
      <w:r w:rsidRPr="00FD770B">
        <w:rPr>
          <w:rFonts w:ascii="Garamond" w:hAnsi="Garamond" w:cs="Arial"/>
          <w:i/>
          <w:sz w:val="24"/>
          <w:szCs w:val="24"/>
        </w:rPr>
        <w:t>the protective privilege stops where the public peril begins’.</w:t>
      </w:r>
    </w:p>
    <w:p w:rsidR="008C7469" w:rsidRPr="00FD770B" w:rsidRDefault="008C7469" w:rsidP="008C7469">
      <w:pPr>
        <w:spacing w:after="0"/>
        <w:jc w:val="both"/>
        <w:rPr>
          <w:rFonts w:ascii="Garamond" w:hAnsi="Garamond" w:cs="Arial"/>
          <w:sz w:val="24"/>
          <w:szCs w:val="24"/>
        </w:rPr>
      </w:pPr>
    </w:p>
    <w:p w:rsidR="008C7469" w:rsidRDefault="008C7469" w:rsidP="008C7469">
      <w:pPr>
        <w:spacing w:after="0"/>
        <w:jc w:val="both"/>
        <w:rPr>
          <w:rFonts w:ascii="Garamond" w:hAnsi="Garamond" w:cs="Arial"/>
          <w:sz w:val="24"/>
          <w:szCs w:val="24"/>
        </w:rPr>
      </w:pPr>
      <w:r w:rsidRPr="00FD770B">
        <w:rPr>
          <w:rFonts w:ascii="Garamond" w:hAnsi="Garamond" w:cs="Arial"/>
          <w:sz w:val="24"/>
          <w:szCs w:val="24"/>
        </w:rPr>
        <w:t xml:space="preserve">Health care professionals and therapists of all kinds were made very anxious by the </w:t>
      </w:r>
      <w:proofErr w:type="spellStart"/>
      <w:r w:rsidRPr="00FD770B">
        <w:rPr>
          <w:rFonts w:ascii="Garamond" w:hAnsi="Garamond" w:cs="Arial"/>
          <w:sz w:val="24"/>
          <w:szCs w:val="24"/>
        </w:rPr>
        <w:t>Tarasoff</w:t>
      </w:r>
      <w:proofErr w:type="spellEnd"/>
      <w:r w:rsidRPr="00FD770B">
        <w:rPr>
          <w:rFonts w:ascii="Garamond" w:hAnsi="Garamond" w:cs="Arial"/>
          <w:sz w:val="24"/>
          <w:szCs w:val="24"/>
        </w:rPr>
        <w:t xml:space="preserve"> ruling; perceiving accurately that it undermined any claim that the duty to preserve confidences was an absolute ethical rule. Doctors and therapists could no longer claim a privilege to keep dangerous secrets; they would have to consider whether they had a duty to disclose information, perhaps without the consent of the patient. The NHS code of confidentiality (2003) states that NHS employees have a duty to disclose information in the ‘detection, prevention and punishment of serious crime’; but does not discuss the ethical implications of the harms that might be caused by that disclosure, such as loss of liberty and detention without due legal process. </w:t>
      </w:r>
    </w:p>
    <w:p w:rsidR="00797334" w:rsidRPr="00FD770B" w:rsidRDefault="00797334"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lastRenderedPageBreak/>
        <w:t xml:space="preserve">Although the </w:t>
      </w:r>
      <w:proofErr w:type="spellStart"/>
      <w:r w:rsidRPr="00FD770B">
        <w:rPr>
          <w:rFonts w:ascii="Garamond" w:hAnsi="Garamond" w:cs="Arial"/>
          <w:sz w:val="24"/>
          <w:szCs w:val="24"/>
        </w:rPr>
        <w:t>Tarasoff</w:t>
      </w:r>
      <w:proofErr w:type="spellEnd"/>
      <w:r w:rsidRPr="00FD770B">
        <w:rPr>
          <w:rFonts w:ascii="Garamond" w:hAnsi="Garamond" w:cs="Arial"/>
          <w:sz w:val="24"/>
          <w:szCs w:val="24"/>
        </w:rPr>
        <w:t xml:space="preserve"> case has no legal standing in the UK, there have been similar cases that have raised professional anxiety about the scope of the duty to warn and protect potential victims of violence. The English courts have been reluctant to impose a duty on medical professionals that might fundamentally change the nature of their work into more defensive practices. For example, in the case of Palmer vs Tees </w:t>
      </w:r>
      <w:r w:rsidR="001A4370" w:rsidRPr="00FD770B">
        <w:rPr>
          <w:rFonts w:ascii="Garamond" w:hAnsi="Garamond" w:cs="Arial"/>
          <w:sz w:val="24"/>
          <w:szCs w:val="24"/>
        </w:rPr>
        <w:t>HA [</w:t>
      </w:r>
      <w:r w:rsidRPr="00FD770B">
        <w:rPr>
          <w:rFonts w:ascii="Garamond" w:hAnsi="Garamond" w:cs="Arial"/>
          <w:sz w:val="24"/>
          <w:szCs w:val="24"/>
        </w:rPr>
        <w:t xml:space="preserve">1999], a patient detained in a mental hospital disclosed that he had fantasies of harming children. He was later released into the community, and sadly went on to abduct and kill a child called Rosie Palmer. Her family sued the health authority, saying that they had a duty of care to Rosie which the authority had failed to meet; but the court found that there was no duty of care to unidentifiable classes of persons. This ruling implied that if there an identifiable person at risk, then there might be a duty of care to that person. </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Another recent case at the Court of Appeal supports this view. The case involved a social worker called Ms Selwood who worked for a Local Authority in a child protection service and for a mental health trust in a community mental health team. A man (GB) whose child was being taken into care made threats towards Ms Selwood who was involved in the case; these threats were at least in part related to his mental illness, and he was detained in hospital for treatment; during which time, he made more threats to kill Ms Selwood, which were not shared with her. When GB was released, he attacked Ms Selwood, seriously harming her.  The initial hearing found that the Local Authority and Trust had no duty of care to Ms Selwood; but the Court of Appeal reversed this finding [2012]. In judgement, they indicated that there was a strong argument in favour of both the Local Authority and the Trust having a duty of care towards Mrs Selwood; and that failure to warn her of the risk from GB could be seen as a breach of that duty. </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It might be argued that the prevention of serious to others is a public good that doctors can support as consistent with the values of good medical practice generally. From a utilitarian perspective, reducing harm is a benefit that should be pursued; even if the disclosure causes some harm, it is justified if the benefit is significant and the harm is small. There are well argued points of view (Shepherd &amp; Farrington 1995) that violence prevention is a reasonable public health goal for doctors, given the costs to the NHS of injuries inflicted, and the costs to the criminal justice system of dealing with violence.</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Unfortunately, there is no good way of assessing whether information disclosure actually does prevent </w:t>
      </w:r>
      <w:proofErr w:type="gramStart"/>
      <w:r w:rsidRPr="00FD770B">
        <w:rPr>
          <w:rFonts w:ascii="Garamond" w:hAnsi="Garamond" w:cs="Arial"/>
          <w:sz w:val="24"/>
          <w:szCs w:val="24"/>
        </w:rPr>
        <w:t>a harm</w:t>
      </w:r>
      <w:proofErr w:type="gramEnd"/>
      <w:r w:rsidRPr="00FD770B">
        <w:rPr>
          <w:rFonts w:ascii="Garamond" w:hAnsi="Garamond" w:cs="Arial"/>
          <w:sz w:val="24"/>
          <w:szCs w:val="24"/>
        </w:rPr>
        <w:t xml:space="preserve"> to others. Nor is there a good way of assessing the harm caused by the disclosure is small. Consider the case of Mr A*, who killed his wife when he developed a psychotic depression.  He was sent to a secure hospital where he spent twenty years having treatment.  He makes good progress with medication and therapy; and is assessed as sufficiently well to leave the secure hospital and be rehabilitated back in the community. His risk to others is assessed as low; he has good insight and is remorseful about his offence. He wishes to return to the area where he used to live, and which would usually be clinically indicated as best for him to start rehabilitation. </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Unfortunately, legislation that supports the rights of victims of crime required the hospital to inform Mr A’s adult children about the proposed plans for transfer. Mr A’s adult children violently opposed his move, claiming that they feared him still. They threatened to go to the press if he were returned to his local area, and even threatened to kill him if he is released into the community.  Mr A was subsequently rehabilitated in another part of the country.  In this case, the disclosure of information to others has caused harm to Mr A, in terms of distress and blocked rehabilitation plans; but did not prevent any serious harm to others. </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The GMC state that the first duty of the doctor is to ‘make the welfare of my patient, my first concern.’ But it is hard to see how Mr A’s welfare has been anyone’s first concern. It appears that his welfare is less of an ethical priority than the feelings of his family. It is not that the family’s views are wrong or irrational; we can understand them and feel compassion for them. But it appears that concern for their views and experience trumps any concern for Mr A’s experience; and that furthermore, Mr A is expected to sacrifice some major goods to benefit his family.  Using Jarvis Thompson’s example, Mr A is expected to be a Good Samaritan and make a sacrifice, perhaps because of the harm and wrong he did two decades ago. Yet in theory he has made reparation for that wrong by his deprivation of liberty; to extend that detention, or deprive him of what released prisoners are </w:t>
      </w:r>
      <w:r w:rsidRPr="00FD770B">
        <w:rPr>
          <w:rFonts w:ascii="Garamond" w:hAnsi="Garamond" w:cs="Arial"/>
          <w:sz w:val="24"/>
          <w:szCs w:val="24"/>
        </w:rPr>
        <w:lastRenderedPageBreak/>
        <w:t>usually entitled to, is to treat Mr A unjustly. Treating people unjustly is both a harm and a wrong; and presumably incompatible with making the ‘care of my patient my first concern’.</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The GMC has recently updated its guidance for doctors about how and when to disclose patient information in order to prevent harm to others; for example, there is guidance about the actions that doctors should take to prevent harm to a child, which not only includes disclosure of information, but making contact with social services. However, the guidance is silent about the how doctors should think about the harm they may cause by information sharing; the infliction of which may be entirely justifiable, but is nonetheless real and distressing. I am not suggesting that disclosure of patient information to prevent harm to others should not happen; in my own practice with ex-offenders, we make it clear from the start of our work together that violence/crime reduction is a valuable goal for everyone, and we will act to make that a priority. We ideally want to make that goal a joint venture between the patient, and all the parties involved in their care, and who are affected by their story. By doing so, we try to create with offenders a pro-social narrative in which all parties have a voice; and we can explore the potential clash of values between their needs and how others might view them.</w:t>
      </w:r>
    </w:p>
    <w:p w:rsidR="008C7469" w:rsidRPr="00521ABB" w:rsidRDefault="008C7469" w:rsidP="008C7469">
      <w:pPr>
        <w:spacing w:after="0"/>
        <w:jc w:val="both"/>
        <w:rPr>
          <w:rFonts w:ascii="Garamond" w:hAnsi="Garamond" w:cs="Arial"/>
          <w:b/>
          <w:sz w:val="24"/>
          <w:szCs w:val="24"/>
        </w:rPr>
      </w:pPr>
    </w:p>
    <w:p w:rsidR="008C7469" w:rsidRPr="00521ABB" w:rsidRDefault="00C959A4" w:rsidP="008C7469">
      <w:pPr>
        <w:spacing w:after="0"/>
        <w:jc w:val="both"/>
        <w:rPr>
          <w:rFonts w:ascii="Garamond" w:hAnsi="Garamond" w:cs="Arial"/>
          <w:b/>
          <w:sz w:val="24"/>
          <w:szCs w:val="24"/>
        </w:rPr>
      </w:pPr>
      <w:r>
        <w:rPr>
          <w:rFonts w:ascii="Garamond" w:hAnsi="Garamond" w:cs="Arial"/>
          <w:b/>
          <w:sz w:val="24"/>
          <w:szCs w:val="24"/>
        </w:rPr>
        <w:t>The Extended Self: Relational A</w:t>
      </w:r>
      <w:r w:rsidR="008C7469" w:rsidRPr="00521ABB">
        <w:rPr>
          <w:rFonts w:ascii="Garamond" w:hAnsi="Garamond" w:cs="Arial"/>
          <w:b/>
          <w:sz w:val="24"/>
          <w:szCs w:val="24"/>
        </w:rPr>
        <w:t xml:space="preserve">utonomy and </w:t>
      </w:r>
      <w:r>
        <w:rPr>
          <w:rFonts w:ascii="Garamond" w:hAnsi="Garamond" w:cs="Arial"/>
          <w:b/>
          <w:sz w:val="24"/>
          <w:szCs w:val="24"/>
        </w:rPr>
        <w:t>R</w:t>
      </w:r>
      <w:r w:rsidR="008C7469" w:rsidRPr="00521ABB">
        <w:rPr>
          <w:rFonts w:ascii="Garamond" w:hAnsi="Garamond" w:cs="Arial"/>
          <w:b/>
          <w:sz w:val="24"/>
          <w:szCs w:val="24"/>
        </w:rPr>
        <w:t>isk</w:t>
      </w:r>
    </w:p>
    <w:p w:rsidR="008C7469" w:rsidRPr="00FD770B" w:rsidRDefault="008C7469" w:rsidP="008C7469">
      <w:pPr>
        <w:spacing w:after="0"/>
        <w:jc w:val="both"/>
        <w:rPr>
          <w:rFonts w:ascii="Garamond" w:hAnsi="Garamond" w:cs="Arial"/>
          <w:i/>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So far, I have set out some rather dramatic examples of ethical tensions and emotional distress associated with information sharing. I want now to discuss more mundane but no less painful tensions which can arise when personal information is seen as a private commodity that needs to be secured at all costs; and when sharing health information is set up as a tense and competitive conflict between individuals and their rights.</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The chief problem </w:t>
      </w:r>
      <w:r w:rsidR="00797334" w:rsidRPr="00FD770B">
        <w:rPr>
          <w:rFonts w:ascii="Garamond" w:hAnsi="Garamond" w:cs="Arial"/>
          <w:sz w:val="24"/>
          <w:szCs w:val="24"/>
        </w:rPr>
        <w:t>(as</w:t>
      </w:r>
      <w:r w:rsidRPr="00FD770B">
        <w:rPr>
          <w:rFonts w:ascii="Garamond" w:hAnsi="Garamond" w:cs="Arial"/>
          <w:sz w:val="24"/>
          <w:szCs w:val="24"/>
        </w:rPr>
        <w:t xml:space="preserve"> I see it) is that human relationships are built on trust that is based on information shared, received and considered. Information about me can be highly individual and personal, but may also be relational, and exists only because of the relationships that I have with others. For example, in my role as a parent, I have information about myself and my </w:t>
      </w:r>
      <w:r w:rsidR="001A4370" w:rsidRPr="00FD770B">
        <w:rPr>
          <w:rFonts w:ascii="Garamond" w:hAnsi="Garamond" w:cs="Arial"/>
          <w:sz w:val="24"/>
          <w:szCs w:val="24"/>
        </w:rPr>
        <w:t>children that</w:t>
      </w:r>
      <w:r w:rsidRPr="00FD770B">
        <w:rPr>
          <w:rFonts w:ascii="Garamond" w:hAnsi="Garamond" w:cs="Arial"/>
          <w:sz w:val="24"/>
          <w:szCs w:val="24"/>
        </w:rPr>
        <w:t xml:space="preserve"> does not just ‘belong’ to me; it is shared as part of our family narrative. My identity as a parent is located in the history of my relationship with my children over time, and the same is true of other human relationships. Bereavement is a good example of a situation when one person’s identity is called into question by information about another’s change of identity by illness and then death.</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As I described in my first talk, autonomy and choice about medical decisions may be located in a web of relationships that exist over time, especially for those who have long term conditions and dependency needs. In these circumstances, it makes little sense to think about information about a dependent person as being ‘property’ that must be jealously guarded against theft or exploitation. I am thinking here of elderly people who still have capacity but need help to articulate their medical experience, and want their adult children to assist them; but their adult children may be told that doctors or nurses cannot discuss their parents’ care needs ‘because of confidentiality’. </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Even more concerning are those cases that involve young adults (over 16) who are autonomous agents for the purposes of medical consultations, but who have significant mental illnesses, like depression or eating disorders. Their </w:t>
      </w:r>
      <w:r w:rsidR="001A4370" w:rsidRPr="00FD770B">
        <w:rPr>
          <w:rFonts w:ascii="Garamond" w:hAnsi="Garamond" w:cs="Arial"/>
          <w:sz w:val="24"/>
          <w:szCs w:val="24"/>
        </w:rPr>
        <w:t>claims to confidentiality are</w:t>
      </w:r>
      <w:r w:rsidRPr="00FD770B">
        <w:rPr>
          <w:rFonts w:ascii="Garamond" w:hAnsi="Garamond" w:cs="Arial"/>
          <w:sz w:val="24"/>
          <w:szCs w:val="24"/>
        </w:rPr>
        <w:t xml:space="preserve"> often seen to over-ride any claims that their families have to want to know about their welfare and assist them. It might be argued that the duty to preserve confidences protects vulnerable young adults from pressure from parents or adults who might be abusive or controlling; but protection from this situation also prevents young adults sometimes from getting support from their families, or deters medical professionals from letting families know how unwell the young adult is, and how fragile their well-being.</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I do not wish to suggest that the medical duty to respect confidences be completely abandoned for older and younger adults; nor that </w:t>
      </w:r>
      <w:proofErr w:type="gramStart"/>
      <w:r w:rsidRPr="00FD770B">
        <w:rPr>
          <w:rFonts w:ascii="Garamond" w:hAnsi="Garamond" w:cs="Arial"/>
          <w:sz w:val="24"/>
          <w:szCs w:val="24"/>
        </w:rPr>
        <w:t>people are</w:t>
      </w:r>
      <w:proofErr w:type="gramEnd"/>
      <w:r w:rsidRPr="00FD770B">
        <w:rPr>
          <w:rFonts w:ascii="Garamond" w:hAnsi="Garamond" w:cs="Arial"/>
          <w:sz w:val="24"/>
          <w:szCs w:val="24"/>
        </w:rPr>
        <w:t xml:space="preserve"> not entitled to their privacy, especially at times when they are vulnerable and need help. What I am asking for is a more nuanced approach to information sharing, especially between people who are in close and enduring relationships. I am suggesting that personal information is not a precious commodity that is hoarded by doctors on behalf of people who seek help, but a medium of communication between people that has to be practically useful and personally meaningful.</w:t>
      </w: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lastRenderedPageBreak/>
        <w:t xml:space="preserve">I am aware that this argument is not likely to be favourably heard because of anxieties about identity theft and manipulation of data. But I am concerned that there is a type of rigidity to the management of medical information sharing that is not helpful to patients and does not reflect the realities of human interaction. Dame Fiona </w:t>
      </w:r>
      <w:proofErr w:type="spellStart"/>
      <w:r w:rsidRPr="00FD770B">
        <w:rPr>
          <w:rFonts w:ascii="Garamond" w:hAnsi="Garamond" w:cs="Arial"/>
          <w:sz w:val="24"/>
          <w:szCs w:val="24"/>
        </w:rPr>
        <w:t>Caldicott’s</w:t>
      </w:r>
      <w:proofErr w:type="spellEnd"/>
      <w:r w:rsidRPr="00FD770B">
        <w:rPr>
          <w:rFonts w:ascii="Garamond" w:hAnsi="Garamond" w:cs="Arial"/>
          <w:sz w:val="24"/>
          <w:szCs w:val="24"/>
        </w:rPr>
        <w:t xml:space="preserve"> most recent advice on information sharing (National Data Guardian 2016) encourages those who handle information to be more ready to share information in the sphere of health care; and as I have described above, there appears to be little privacy offered to any person who is suspected of posing a risk of violence to others. Threats of violence trump claims to privacy but claims of affection do not.</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A perfect clinical example is the discussion of genetic risk in families. </w:t>
      </w:r>
      <w:proofErr w:type="spellStart"/>
      <w:r w:rsidRPr="00FD770B">
        <w:rPr>
          <w:rFonts w:ascii="Garamond" w:hAnsi="Garamond" w:cs="Arial"/>
          <w:sz w:val="24"/>
          <w:szCs w:val="24"/>
        </w:rPr>
        <w:t>Dheensa</w:t>
      </w:r>
      <w:proofErr w:type="spellEnd"/>
      <w:r w:rsidRPr="00FD770B">
        <w:rPr>
          <w:rFonts w:ascii="Garamond" w:hAnsi="Garamond" w:cs="Arial"/>
          <w:sz w:val="24"/>
          <w:szCs w:val="24"/>
        </w:rPr>
        <w:t xml:space="preserve"> et al (2017) discuss how health care professionals address dilemmas about what to do when people refuse to share information about their genetic conditions with other family members; despite knowing that the information may directly or indirectly affect those family members. In </w:t>
      </w:r>
      <w:proofErr w:type="spellStart"/>
      <w:r w:rsidRPr="00FD770B">
        <w:rPr>
          <w:rFonts w:ascii="Garamond" w:hAnsi="Garamond" w:cs="Arial"/>
          <w:sz w:val="24"/>
          <w:szCs w:val="24"/>
        </w:rPr>
        <w:t>Dheensa’s</w:t>
      </w:r>
      <w:proofErr w:type="spellEnd"/>
      <w:r w:rsidRPr="00FD770B">
        <w:rPr>
          <w:rFonts w:ascii="Garamond" w:hAnsi="Garamond" w:cs="Arial"/>
          <w:sz w:val="24"/>
          <w:szCs w:val="24"/>
        </w:rPr>
        <w:t xml:space="preserve"> study, professionals were reluctant to disclose in the face of a flat refusal because of concerns about interfering in complex family dynamics and causing distress. </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It is of interest in light of my earlier arguments that this study seems to articulate a professional view that there is no obligation on professionals to make people behave well towards others; that they should respect even somewhat antisocial decisions; and that patients’ relatives might have ‘a right not to know’ information that might be distressing. Note that this approach is at odds with both </w:t>
      </w:r>
      <w:proofErr w:type="spellStart"/>
      <w:r w:rsidRPr="00FD770B">
        <w:rPr>
          <w:rFonts w:ascii="Garamond" w:hAnsi="Garamond" w:cs="Arial"/>
          <w:i/>
          <w:sz w:val="24"/>
          <w:szCs w:val="24"/>
        </w:rPr>
        <w:t>Tarasoff</w:t>
      </w:r>
      <w:proofErr w:type="spellEnd"/>
      <w:r w:rsidRPr="00FD770B">
        <w:rPr>
          <w:rFonts w:ascii="Garamond" w:hAnsi="Garamond" w:cs="Arial"/>
          <w:sz w:val="24"/>
          <w:szCs w:val="24"/>
        </w:rPr>
        <w:t xml:space="preserve"> and </w:t>
      </w:r>
      <w:r w:rsidRPr="00FD770B">
        <w:rPr>
          <w:rFonts w:ascii="Garamond" w:hAnsi="Garamond" w:cs="Arial"/>
          <w:i/>
          <w:sz w:val="24"/>
          <w:szCs w:val="24"/>
        </w:rPr>
        <w:t>Palmer</w:t>
      </w:r>
      <w:r w:rsidRPr="00FD770B">
        <w:rPr>
          <w:rFonts w:ascii="Garamond" w:hAnsi="Garamond" w:cs="Arial"/>
          <w:sz w:val="24"/>
          <w:szCs w:val="24"/>
        </w:rPr>
        <w:t xml:space="preserve">, in terms of identifiable victims; and seems to make a distinction between disclosure to prevent an action that causes harm, and failure to disclose an omission that causes harm. It is also noteworthy that the professional view appears to contrast with the views of patients interviewed in a similar study </w:t>
      </w:r>
      <w:r w:rsidR="001A4370" w:rsidRPr="00FD770B">
        <w:rPr>
          <w:rFonts w:ascii="Garamond" w:hAnsi="Garamond" w:cs="Arial"/>
          <w:sz w:val="24"/>
          <w:szCs w:val="24"/>
        </w:rPr>
        <w:t>(</w:t>
      </w:r>
      <w:proofErr w:type="spellStart"/>
      <w:r w:rsidR="001A4370" w:rsidRPr="00FD770B">
        <w:rPr>
          <w:rFonts w:ascii="Garamond" w:hAnsi="Garamond" w:cs="Arial"/>
          <w:sz w:val="24"/>
          <w:szCs w:val="24"/>
        </w:rPr>
        <w:t>Dheensa</w:t>
      </w:r>
      <w:proofErr w:type="spellEnd"/>
      <w:r w:rsidRPr="00FD770B">
        <w:rPr>
          <w:rFonts w:ascii="Garamond" w:hAnsi="Garamond" w:cs="Arial"/>
          <w:sz w:val="24"/>
          <w:szCs w:val="24"/>
        </w:rPr>
        <w:t xml:space="preserve"> et al 2016); patient participants took a different view of their genetic risk, and saw the information as more relational, and not as their possession.</w:t>
      </w:r>
    </w:p>
    <w:p w:rsidR="008C7469" w:rsidRPr="00FD770B" w:rsidRDefault="008C7469" w:rsidP="008C7469">
      <w:pPr>
        <w:spacing w:after="0"/>
        <w:jc w:val="both"/>
        <w:rPr>
          <w:rFonts w:ascii="Garamond" w:hAnsi="Garamond" w:cs="Arial"/>
          <w:sz w:val="24"/>
          <w:szCs w:val="24"/>
        </w:rPr>
      </w:pPr>
    </w:p>
    <w:p w:rsidR="008C7469" w:rsidRPr="00521ABB" w:rsidRDefault="00C959A4" w:rsidP="008C7469">
      <w:pPr>
        <w:spacing w:after="0"/>
        <w:jc w:val="both"/>
        <w:rPr>
          <w:rFonts w:ascii="Garamond" w:hAnsi="Garamond" w:cs="Arial"/>
          <w:b/>
          <w:sz w:val="24"/>
          <w:szCs w:val="24"/>
        </w:rPr>
      </w:pPr>
      <w:r>
        <w:rPr>
          <w:rFonts w:ascii="Garamond" w:hAnsi="Garamond" w:cs="Arial"/>
          <w:b/>
          <w:sz w:val="24"/>
          <w:szCs w:val="24"/>
        </w:rPr>
        <w:t>Risk and Relatio</w:t>
      </w:r>
      <w:r w:rsidR="00A70D2C">
        <w:rPr>
          <w:rFonts w:ascii="Garamond" w:hAnsi="Garamond" w:cs="Arial"/>
          <w:b/>
          <w:sz w:val="24"/>
          <w:szCs w:val="24"/>
        </w:rPr>
        <w:t>nships: A</w:t>
      </w:r>
      <w:r>
        <w:rPr>
          <w:rFonts w:ascii="Garamond" w:hAnsi="Garamond" w:cs="Arial"/>
          <w:b/>
          <w:sz w:val="24"/>
          <w:szCs w:val="24"/>
        </w:rPr>
        <w:t xml:space="preserve"> Contemporary C</w:t>
      </w:r>
      <w:r w:rsidR="008C7469" w:rsidRPr="00521ABB">
        <w:rPr>
          <w:rFonts w:ascii="Garamond" w:hAnsi="Garamond" w:cs="Arial"/>
          <w:b/>
          <w:sz w:val="24"/>
          <w:szCs w:val="24"/>
        </w:rPr>
        <w:t>ase</w:t>
      </w:r>
    </w:p>
    <w:p w:rsidR="008C7469" w:rsidRPr="00FD770B" w:rsidRDefault="008C7469" w:rsidP="008C7469">
      <w:pPr>
        <w:spacing w:after="0"/>
        <w:jc w:val="both"/>
        <w:rPr>
          <w:rFonts w:ascii="Garamond" w:hAnsi="Garamond" w:cs="Arial"/>
          <w:i/>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I want to end with </w:t>
      </w:r>
      <w:r w:rsidR="002960A8">
        <w:rPr>
          <w:rFonts w:ascii="Garamond" w:hAnsi="Garamond" w:cs="Arial"/>
          <w:sz w:val="24"/>
          <w:szCs w:val="24"/>
        </w:rPr>
        <w:t>a discussion of a legal case (ABC</w:t>
      </w:r>
      <w:r w:rsidRPr="00FD770B">
        <w:rPr>
          <w:rFonts w:ascii="Garamond" w:hAnsi="Garamond" w:cs="Arial"/>
          <w:sz w:val="24"/>
          <w:szCs w:val="24"/>
        </w:rPr>
        <w:t xml:space="preserve"> vs St George’s NHS Trust) that neatly exemplifies the issues raised above. The case is about to go to the Court of Appeal at time of writing; and may be heard by the time the lecture is given.</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Mr B killed his wife when mentally ill and was sent to a secure psychiatric hospital for treatment. During his time in hospital, it emerged that he had Huntington’s disease, which is a severe brain disease that causes fatal dementia; and almost certainly contributed to Mr B’s actions in killing his wife. Huntington’s disease is a genetically dominant condition; if a person has the gene, they will</w:t>
      </w:r>
      <w:r w:rsidR="00A70D2C">
        <w:rPr>
          <w:rFonts w:ascii="Garamond" w:hAnsi="Garamond" w:cs="Arial"/>
          <w:sz w:val="24"/>
          <w:szCs w:val="24"/>
        </w:rPr>
        <w:t xml:space="preserve"> get the disease, and their off</w:t>
      </w:r>
      <w:r w:rsidRPr="00FD770B">
        <w:rPr>
          <w:rFonts w:ascii="Garamond" w:hAnsi="Garamond" w:cs="Arial"/>
          <w:sz w:val="24"/>
          <w:szCs w:val="24"/>
        </w:rPr>
        <w:t>spring have a 50: 50 chance of acquiring the gene and so developing the condition.</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Mr B has a daughter, Ms C, who was recently pregnant. She came regularly to family therapy sessions with her father to discuss his offence and its impact on her. Mr B told his brother about his condition, but refused to allow doctors to disclose his condition to Ms C, saying that he was concerned that she might have an abortion. Ms C discovered the information about her father’s condition by accident; </w:t>
      </w:r>
      <w:bookmarkStart w:id="0" w:name="_GoBack"/>
      <w:bookmarkEnd w:id="0"/>
      <w:r w:rsidRPr="00FD770B">
        <w:rPr>
          <w:rFonts w:ascii="Garamond" w:hAnsi="Garamond" w:cs="Arial"/>
          <w:sz w:val="24"/>
          <w:szCs w:val="24"/>
        </w:rPr>
        <w:t xml:space="preserve">and she brought an action in negligence against the hospital, arguing that they had a duty of care towards her and that her right to a private life under Article 8 had been breached. Ms C has subsequently discovered she is positive for Huntington’s disease; she does not yet know if her little daughter has the gene. </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At the original hearing, the judge found that there was no case to answer because the Trust had no duty to Ms C, only to her father, who was the patient. This decision is under Appeal; one argument being that Ms C was arguably a patient of the Trust insofar as she was attending family therapy with her father. But what I think this case exemplifies is the relational context of medical information, and the importance of thinking about confidentiality in terms of communication in relationships. It seems hard to argue that Mr B’s genetic status was irrelevant to his relationship with his daughter, and her future welfare; or that painful truths and honesty might be crucial to a therapeutic process that was looking at his offence and its impact. In allowing him to control his daughter’s future, it could be said that the medical team allowed him to sacrifice his daughter’s welfare to </w:t>
      </w:r>
      <w:r w:rsidRPr="00FD770B">
        <w:rPr>
          <w:rFonts w:ascii="Garamond" w:hAnsi="Garamond" w:cs="Arial"/>
          <w:sz w:val="24"/>
          <w:szCs w:val="24"/>
        </w:rPr>
        <w:lastRenderedPageBreak/>
        <w:t>address his anxiety; in some ways, a replication of his original offence. Discussion of competing rights seems insufficiently nuanced for a tragedy of this order.</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Space does not allow for discussion of the many other contemporary questions about privacy and confidentiality in medical practice. What I hope to have made a case for is a richer, more complex and more uncomfortable type of discussion that remain to be discussed; one that is ‘thicker’ (Geertz, 1994) and which reflects the ambiguities and uncertainties of human moral reasoning.</w:t>
      </w:r>
    </w:p>
    <w:p w:rsidR="008C7469" w:rsidRPr="00FD770B" w:rsidRDefault="008C7469" w:rsidP="008C7469">
      <w:pPr>
        <w:spacing w:after="0"/>
        <w:jc w:val="both"/>
        <w:rPr>
          <w:rFonts w:ascii="Garamond" w:hAnsi="Garamond" w:cs="Arial"/>
          <w:sz w:val="24"/>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*The duty to preserve confidences requires me to state that the case of Mr A is fictitious but clinically accurate.  There is an interesting debate to be had about the use of fictitious case material and/or the use of real unidentifiable details in fiction and creative writing; but space does not permit discussion of this here.</w:t>
      </w:r>
    </w:p>
    <w:p w:rsidR="008C7469" w:rsidRPr="00FD770B" w:rsidRDefault="008C7469" w:rsidP="008C7469">
      <w:pPr>
        <w:spacing w:after="0"/>
        <w:jc w:val="both"/>
        <w:rPr>
          <w:rFonts w:ascii="Garamond" w:hAnsi="Garamond" w:cs="Arial"/>
          <w:i/>
          <w:sz w:val="24"/>
          <w:szCs w:val="24"/>
        </w:rPr>
      </w:pPr>
    </w:p>
    <w:p w:rsidR="00FD770B" w:rsidRPr="009F536C" w:rsidRDefault="001A4370" w:rsidP="00FD770B">
      <w:pPr>
        <w:spacing w:after="0" w:line="240" w:lineRule="auto"/>
        <w:jc w:val="right"/>
        <w:rPr>
          <w:rFonts w:ascii="Garamond" w:hAnsi="Garamond"/>
          <w:color w:val="000000" w:themeColor="text1"/>
          <w:sz w:val="24"/>
          <w:szCs w:val="24"/>
        </w:rPr>
      </w:pPr>
      <w:r>
        <w:rPr>
          <w:rFonts w:ascii="Garamond" w:hAnsi="Garamond"/>
          <w:color w:val="000000" w:themeColor="text1"/>
          <w:sz w:val="24"/>
          <w:szCs w:val="24"/>
        </w:rPr>
        <w:t>© Professor Gwen Adshead, 2017</w:t>
      </w:r>
    </w:p>
    <w:p w:rsidR="008C7469" w:rsidRPr="00CE26D6" w:rsidRDefault="008C7469" w:rsidP="008C7469">
      <w:pPr>
        <w:spacing w:after="0"/>
        <w:jc w:val="both"/>
        <w:rPr>
          <w:rFonts w:ascii="Garamond" w:hAnsi="Garamond" w:cs="Arial"/>
          <w:i/>
          <w:sz w:val="16"/>
          <w:szCs w:val="24"/>
        </w:rPr>
      </w:pPr>
    </w:p>
    <w:p w:rsidR="008C7469" w:rsidRPr="00FD770B" w:rsidRDefault="008C7469" w:rsidP="008C7469">
      <w:pPr>
        <w:spacing w:after="0"/>
        <w:jc w:val="both"/>
        <w:rPr>
          <w:rFonts w:ascii="Garamond" w:hAnsi="Garamond" w:cs="Arial"/>
          <w:b/>
          <w:sz w:val="24"/>
          <w:szCs w:val="24"/>
        </w:rPr>
      </w:pPr>
      <w:r w:rsidRPr="00FD770B">
        <w:rPr>
          <w:rFonts w:ascii="Garamond" w:hAnsi="Garamond" w:cs="Arial"/>
          <w:b/>
          <w:sz w:val="24"/>
          <w:szCs w:val="24"/>
        </w:rPr>
        <w:t xml:space="preserve">References </w:t>
      </w:r>
    </w:p>
    <w:p w:rsidR="00FD770B" w:rsidRPr="00CE26D6" w:rsidRDefault="00FD770B" w:rsidP="00CE26D6">
      <w:pPr>
        <w:spacing w:after="0"/>
        <w:jc w:val="both"/>
        <w:rPr>
          <w:rFonts w:ascii="Garamond" w:hAnsi="Garamond" w:cs="Arial"/>
          <w:i/>
          <w:sz w:val="6"/>
          <w:szCs w:val="24"/>
        </w:rPr>
      </w:pPr>
    </w:p>
    <w:p w:rsidR="00CE26D6" w:rsidRPr="00234B4B" w:rsidRDefault="008C7469" w:rsidP="00CE26D6">
      <w:pPr>
        <w:pStyle w:val="ListParagraph"/>
        <w:spacing w:after="0" w:line="276" w:lineRule="auto"/>
        <w:ind w:left="0"/>
        <w:jc w:val="both"/>
        <w:rPr>
          <w:rFonts w:ascii="Garamond" w:hAnsi="Garamond" w:cs="Arial"/>
          <w:sz w:val="24"/>
          <w:szCs w:val="24"/>
        </w:rPr>
      </w:pPr>
      <w:r w:rsidRPr="00C959A4">
        <w:rPr>
          <w:rFonts w:ascii="Garamond" w:hAnsi="Garamond" w:cs="Arial"/>
          <w:sz w:val="24"/>
          <w:szCs w:val="24"/>
        </w:rPr>
        <w:t>Fe</w:t>
      </w:r>
      <w:r w:rsidRPr="00234B4B">
        <w:rPr>
          <w:rFonts w:ascii="Garamond" w:hAnsi="Garamond" w:cs="Arial"/>
          <w:sz w:val="24"/>
          <w:szCs w:val="24"/>
        </w:rPr>
        <w:t xml:space="preserve">rguson, A (2016) </w:t>
      </w:r>
      <w:proofErr w:type="gramStart"/>
      <w:r w:rsidRPr="00234B4B">
        <w:rPr>
          <w:rFonts w:ascii="Garamond" w:hAnsi="Garamond" w:cs="Arial"/>
          <w:sz w:val="24"/>
          <w:szCs w:val="24"/>
        </w:rPr>
        <w:t>Should</w:t>
      </w:r>
      <w:proofErr w:type="gramEnd"/>
      <w:r w:rsidRPr="00234B4B">
        <w:rPr>
          <w:rFonts w:ascii="Garamond" w:hAnsi="Garamond" w:cs="Arial"/>
          <w:sz w:val="24"/>
          <w:szCs w:val="24"/>
        </w:rPr>
        <w:t xml:space="preserve"> a doctor tell? </w:t>
      </w:r>
      <w:proofErr w:type="gramStart"/>
      <w:r w:rsidRPr="00234B4B">
        <w:rPr>
          <w:rFonts w:ascii="Garamond" w:hAnsi="Garamond" w:cs="Arial"/>
          <w:sz w:val="24"/>
          <w:szCs w:val="24"/>
        </w:rPr>
        <w:t>The evolution of medical confidentiality in Britain.</w:t>
      </w:r>
      <w:proofErr w:type="gramEnd"/>
      <w:r w:rsidRPr="00234B4B">
        <w:rPr>
          <w:rFonts w:ascii="Garamond" w:hAnsi="Garamond" w:cs="Arial"/>
          <w:sz w:val="24"/>
          <w:szCs w:val="24"/>
        </w:rPr>
        <w:t xml:space="preserve"> London, Routledge.</w:t>
      </w:r>
    </w:p>
    <w:p w:rsidR="00CE26D6" w:rsidRPr="00234B4B" w:rsidRDefault="00CE26D6" w:rsidP="00CE26D6">
      <w:pPr>
        <w:pStyle w:val="ListParagraph"/>
        <w:spacing w:after="0" w:line="276" w:lineRule="auto"/>
        <w:ind w:left="0"/>
        <w:jc w:val="both"/>
        <w:rPr>
          <w:rFonts w:ascii="Garamond" w:hAnsi="Garamond" w:cs="Arial"/>
          <w:sz w:val="6"/>
          <w:szCs w:val="24"/>
        </w:rPr>
      </w:pPr>
    </w:p>
    <w:p w:rsidR="00CE26D6" w:rsidRPr="00234B4B" w:rsidRDefault="008C7469" w:rsidP="00CE26D6">
      <w:pPr>
        <w:pStyle w:val="ListParagraph"/>
        <w:spacing w:after="0" w:line="240" w:lineRule="auto"/>
        <w:ind w:left="0"/>
        <w:jc w:val="both"/>
        <w:rPr>
          <w:rFonts w:ascii="Garamond" w:eastAsia="Times New Roman" w:hAnsi="Garamond" w:cs="Arial"/>
          <w:i/>
          <w:iCs/>
          <w:sz w:val="24"/>
          <w:szCs w:val="24"/>
          <w:lang w:eastAsia="en-GB"/>
        </w:rPr>
      </w:pPr>
      <w:r w:rsidRPr="00234B4B">
        <w:rPr>
          <w:rFonts w:ascii="Garamond" w:hAnsi="Garamond" w:cs="Arial"/>
          <w:sz w:val="24"/>
          <w:szCs w:val="24"/>
        </w:rPr>
        <w:t xml:space="preserve">Geertz, C. (1994). Thick description: Toward an interpretive theory of culture. </w:t>
      </w:r>
      <w:proofErr w:type="gramStart"/>
      <w:r w:rsidRPr="00234B4B">
        <w:rPr>
          <w:rFonts w:ascii="Garamond" w:hAnsi="Garamond" w:cs="Arial"/>
          <w:i/>
          <w:iCs/>
          <w:sz w:val="24"/>
          <w:szCs w:val="24"/>
        </w:rPr>
        <w:t>Readings in the philosophy of social science</w:t>
      </w:r>
      <w:r w:rsidRPr="00234B4B">
        <w:rPr>
          <w:rFonts w:ascii="Garamond" w:hAnsi="Garamond" w:cs="Arial"/>
          <w:sz w:val="24"/>
          <w:szCs w:val="24"/>
        </w:rPr>
        <w:t>, pp.213-231.</w:t>
      </w:r>
      <w:proofErr w:type="gramEnd"/>
      <w:r w:rsidRPr="00234B4B">
        <w:rPr>
          <w:rFonts w:ascii="Garamond" w:eastAsia="Times New Roman" w:hAnsi="Garamond" w:cs="Arial"/>
          <w:i/>
          <w:iCs/>
          <w:sz w:val="24"/>
          <w:szCs w:val="24"/>
          <w:lang w:eastAsia="en-GB"/>
        </w:rPr>
        <w:t xml:space="preserve"> </w:t>
      </w:r>
    </w:p>
    <w:p w:rsidR="00CE26D6" w:rsidRPr="00234B4B" w:rsidRDefault="00CE26D6" w:rsidP="00CE26D6">
      <w:pPr>
        <w:pStyle w:val="ListParagraph"/>
        <w:spacing w:after="0" w:line="276" w:lineRule="auto"/>
        <w:ind w:left="0"/>
        <w:jc w:val="both"/>
        <w:rPr>
          <w:rFonts w:ascii="Garamond" w:hAnsi="Garamond" w:cs="Arial"/>
          <w:sz w:val="6"/>
          <w:szCs w:val="24"/>
        </w:rPr>
      </w:pPr>
    </w:p>
    <w:p w:rsidR="00C959A4" w:rsidRPr="00234B4B" w:rsidRDefault="008C7469" w:rsidP="00CE26D6">
      <w:pPr>
        <w:pStyle w:val="ListParagraph"/>
        <w:spacing w:after="0" w:line="276" w:lineRule="auto"/>
        <w:ind w:left="0"/>
        <w:jc w:val="both"/>
        <w:rPr>
          <w:rFonts w:ascii="Garamond" w:eastAsia="Times New Roman" w:hAnsi="Garamond" w:cs="Arial"/>
          <w:i/>
          <w:iCs/>
          <w:sz w:val="24"/>
          <w:szCs w:val="24"/>
          <w:lang w:eastAsia="en-GB"/>
        </w:rPr>
      </w:pPr>
      <w:r w:rsidRPr="00234B4B">
        <w:rPr>
          <w:rFonts w:ascii="Garamond" w:eastAsia="Times New Roman" w:hAnsi="Garamond" w:cs="Arial"/>
          <w:iCs/>
          <w:sz w:val="24"/>
          <w:szCs w:val="24"/>
          <w:lang w:eastAsia="en-GB"/>
        </w:rPr>
        <w:t xml:space="preserve">General Medical Council. </w:t>
      </w:r>
      <w:hyperlink r:id="rId10" w:history="1">
        <w:r w:rsidR="00CE26D6" w:rsidRPr="00234B4B">
          <w:rPr>
            <w:rStyle w:val="Hyperlink"/>
            <w:rFonts w:ascii="Garamond" w:eastAsia="Times New Roman" w:hAnsi="Garamond" w:cs="Arial"/>
            <w:i/>
            <w:iCs/>
            <w:color w:val="auto"/>
            <w:sz w:val="24"/>
            <w:szCs w:val="24"/>
            <w:lang w:eastAsia="en-GB"/>
          </w:rPr>
          <w:t>www.gmc-uk.org/guidance/ethical_guidance/confidentiality.asp</w:t>
        </w:r>
      </w:hyperlink>
    </w:p>
    <w:p w:rsidR="00CE26D6" w:rsidRPr="00234B4B" w:rsidRDefault="00CE26D6" w:rsidP="00CE26D6">
      <w:pPr>
        <w:pStyle w:val="ListParagraph"/>
        <w:spacing w:after="0" w:line="276" w:lineRule="auto"/>
        <w:ind w:left="0"/>
        <w:jc w:val="both"/>
        <w:rPr>
          <w:rFonts w:ascii="Garamond" w:hAnsi="Garamond" w:cs="Arial"/>
          <w:sz w:val="6"/>
          <w:szCs w:val="24"/>
        </w:rPr>
      </w:pPr>
    </w:p>
    <w:p w:rsidR="00C959A4" w:rsidRPr="00234B4B" w:rsidRDefault="008C7469" w:rsidP="00CE26D6">
      <w:pPr>
        <w:pStyle w:val="ListParagraph"/>
        <w:spacing w:after="0" w:line="240" w:lineRule="auto"/>
        <w:ind w:left="0"/>
        <w:jc w:val="both"/>
        <w:rPr>
          <w:rFonts w:ascii="Garamond" w:hAnsi="Garamond" w:cs="Arial"/>
          <w:sz w:val="24"/>
          <w:szCs w:val="24"/>
        </w:rPr>
      </w:pPr>
      <w:proofErr w:type="spellStart"/>
      <w:r w:rsidRPr="00234B4B">
        <w:rPr>
          <w:rFonts w:ascii="Garamond" w:hAnsi="Garamond" w:cs="Arial"/>
          <w:sz w:val="24"/>
          <w:szCs w:val="24"/>
        </w:rPr>
        <w:t>Kottow</w:t>
      </w:r>
      <w:proofErr w:type="spellEnd"/>
      <w:r w:rsidRPr="00234B4B">
        <w:rPr>
          <w:rFonts w:ascii="Garamond" w:hAnsi="Garamond" w:cs="Arial"/>
          <w:sz w:val="24"/>
          <w:szCs w:val="24"/>
        </w:rPr>
        <w:t xml:space="preserve">, M.H. (1986). Medical confidentiality: an intransigent and absolute obligation. </w:t>
      </w:r>
      <w:proofErr w:type="gramStart"/>
      <w:r w:rsidRPr="00234B4B">
        <w:rPr>
          <w:rFonts w:ascii="Garamond" w:hAnsi="Garamond" w:cs="Arial"/>
          <w:i/>
          <w:iCs/>
          <w:sz w:val="24"/>
          <w:szCs w:val="24"/>
        </w:rPr>
        <w:t>Journal of medical ethics</w:t>
      </w:r>
      <w:r w:rsidRPr="00234B4B">
        <w:rPr>
          <w:rFonts w:ascii="Garamond" w:hAnsi="Garamond" w:cs="Arial"/>
          <w:sz w:val="24"/>
          <w:szCs w:val="24"/>
        </w:rPr>
        <w:t xml:space="preserve">, </w:t>
      </w:r>
      <w:r w:rsidRPr="00234B4B">
        <w:rPr>
          <w:rFonts w:ascii="Garamond" w:hAnsi="Garamond" w:cs="Arial"/>
          <w:i/>
          <w:iCs/>
          <w:sz w:val="24"/>
          <w:szCs w:val="24"/>
        </w:rPr>
        <w:t>12</w:t>
      </w:r>
      <w:r w:rsidRPr="00234B4B">
        <w:rPr>
          <w:rFonts w:ascii="Garamond" w:hAnsi="Garamond" w:cs="Arial"/>
          <w:sz w:val="24"/>
          <w:szCs w:val="24"/>
        </w:rPr>
        <w:t>(3), pp.117-122.</w:t>
      </w:r>
      <w:proofErr w:type="gramEnd"/>
    </w:p>
    <w:p w:rsidR="00CE26D6" w:rsidRPr="00234B4B" w:rsidRDefault="00CE26D6" w:rsidP="00CE26D6">
      <w:pPr>
        <w:pStyle w:val="ListParagraph"/>
        <w:spacing w:after="0" w:line="276" w:lineRule="auto"/>
        <w:ind w:left="0"/>
        <w:jc w:val="both"/>
        <w:rPr>
          <w:rFonts w:ascii="Garamond" w:hAnsi="Garamond" w:cs="Arial"/>
          <w:sz w:val="6"/>
          <w:szCs w:val="24"/>
        </w:rPr>
      </w:pPr>
    </w:p>
    <w:p w:rsidR="00C959A4" w:rsidRPr="00234B4B" w:rsidRDefault="008C7469" w:rsidP="00CE26D6">
      <w:pPr>
        <w:pStyle w:val="ListParagraph"/>
        <w:spacing w:after="0" w:line="240" w:lineRule="auto"/>
        <w:ind w:left="0"/>
        <w:jc w:val="both"/>
        <w:rPr>
          <w:rFonts w:ascii="Garamond" w:hAnsi="Garamond" w:cs="Segoe UI"/>
          <w:sz w:val="24"/>
          <w:szCs w:val="24"/>
        </w:rPr>
      </w:pPr>
      <w:proofErr w:type="gramStart"/>
      <w:r w:rsidRPr="00234B4B">
        <w:rPr>
          <w:rFonts w:ascii="Garamond" w:hAnsi="Garamond" w:cs="Segoe UI"/>
          <w:sz w:val="24"/>
          <w:szCs w:val="24"/>
        </w:rPr>
        <w:t>National Data Guardian (2016) Review of data security, consent and opt-outs.</w:t>
      </w:r>
      <w:proofErr w:type="gramEnd"/>
      <w:r w:rsidRPr="00234B4B">
        <w:rPr>
          <w:rFonts w:ascii="Garamond" w:hAnsi="Garamond" w:cs="Segoe UI"/>
          <w:sz w:val="24"/>
          <w:szCs w:val="24"/>
        </w:rPr>
        <w:t xml:space="preserve"> London. </w:t>
      </w:r>
      <w:hyperlink r:id="rId11" w:history="1">
        <w:r w:rsidR="00CE26D6" w:rsidRPr="00234B4B">
          <w:rPr>
            <w:rStyle w:val="Hyperlink"/>
            <w:rFonts w:ascii="Garamond" w:hAnsi="Garamond" w:cs="Segoe UI"/>
            <w:color w:val="auto"/>
            <w:sz w:val="24"/>
            <w:szCs w:val="24"/>
          </w:rPr>
          <w:t>https://www.gov.uk/government/uploads/system/uploads/attachment_data/file/535024/data-security-review.PDF</w:t>
        </w:r>
      </w:hyperlink>
    </w:p>
    <w:p w:rsidR="00CE26D6" w:rsidRPr="00CE26D6" w:rsidRDefault="00CE26D6" w:rsidP="00CE26D6">
      <w:pPr>
        <w:pStyle w:val="ListParagraph"/>
        <w:spacing w:after="0" w:line="276" w:lineRule="auto"/>
        <w:ind w:left="0"/>
        <w:jc w:val="both"/>
        <w:rPr>
          <w:rFonts w:ascii="Garamond" w:hAnsi="Garamond" w:cs="Arial"/>
          <w:sz w:val="6"/>
          <w:szCs w:val="24"/>
        </w:rPr>
      </w:pPr>
    </w:p>
    <w:p w:rsidR="00C959A4" w:rsidRDefault="008C7469" w:rsidP="00CE26D6">
      <w:pPr>
        <w:pStyle w:val="ListParagraph"/>
        <w:spacing w:after="0" w:line="240" w:lineRule="auto"/>
        <w:ind w:left="0"/>
        <w:jc w:val="both"/>
        <w:rPr>
          <w:rFonts w:ascii="Garamond" w:hAnsi="Garamond" w:cs="Arial"/>
          <w:sz w:val="24"/>
          <w:szCs w:val="24"/>
        </w:rPr>
      </w:pPr>
      <w:proofErr w:type="spellStart"/>
      <w:proofErr w:type="gramStart"/>
      <w:r w:rsidRPr="00C959A4">
        <w:rPr>
          <w:rFonts w:ascii="Garamond" w:hAnsi="Garamond" w:cs="Arial"/>
          <w:sz w:val="24"/>
          <w:szCs w:val="24"/>
        </w:rPr>
        <w:t>Moskop</w:t>
      </w:r>
      <w:proofErr w:type="spellEnd"/>
      <w:r w:rsidRPr="00C959A4">
        <w:rPr>
          <w:rFonts w:ascii="Garamond" w:hAnsi="Garamond" w:cs="Arial"/>
          <w:sz w:val="24"/>
          <w:szCs w:val="24"/>
        </w:rPr>
        <w:t xml:space="preserve">, J.C., Marco, C.A., Larkin, G.L., </w:t>
      </w:r>
      <w:proofErr w:type="spellStart"/>
      <w:r w:rsidRPr="00C959A4">
        <w:rPr>
          <w:rFonts w:ascii="Garamond" w:hAnsi="Garamond" w:cs="Arial"/>
          <w:sz w:val="24"/>
          <w:szCs w:val="24"/>
        </w:rPr>
        <w:t>Geiderman</w:t>
      </w:r>
      <w:proofErr w:type="spellEnd"/>
      <w:r w:rsidRPr="00C959A4">
        <w:rPr>
          <w:rFonts w:ascii="Garamond" w:hAnsi="Garamond" w:cs="Arial"/>
          <w:sz w:val="24"/>
          <w:szCs w:val="24"/>
        </w:rPr>
        <w:t xml:space="preserve">, J.M. and </w:t>
      </w:r>
      <w:proofErr w:type="spellStart"/>
      <w:r w:rsidRPr="00C959A4">
        <w:rPr>
          <w:rFonts w:ascii="Garamond" w:hAnsi="Garamond" w:cs="Arial"/>
          <w:sz w:val="24"/>
          <w:szCs w:val="24"/>
        </w:rPr>
        <w:t>Derse</w:t>
      </w:r>
      <w:proofErr w:type="spellEnd"/>
      <w:r w:rsidRPr="00C959A4">
        <w:rPr>
          <w:rFonts w:ascii="Garamond" w:hAnsi="Garamond" w:cs="Arial"/>
          <w:sz w:val="24"/>
          <w:szCs w:val="24"/>
        </w:rPr>
        <w:t>, A.R. (2005).</w:t>
      </w:r>
      <w:proofErr w:type="gramEnd"/>
      <w:r w:rsidRPr="00C959A4">
        <w:rPr>
          <w:rFonts w:ascii="Garamond" w:hAnsi="Garamond" w:cs="Arial"/>
          <w:sz w:val="24"/>
          <w:szCs w:val="24"/>
        </w:rPr>
        <w:t xml:space="preserve"> From Hippocrates to HIPAA: privacy and confidentiality in emergency medicine—part I: conceptual, moral, and legal foundations. </w:t>
      </w:r>
      <w:proofErr w:type="gramStart"/>
      <w:r w:rsidRPr="00C959A4">
        <w:rPr>
          <w:rFonts w:ascii="Garamond" w:hAnsi="Garamond" w:cs="Arial"/>
          <w:i/>
          <w:iCs/>
          <w:sz w:val="24"/>
          <w:szCs w:val="24"/>
        </w:rPr>
        <w:t>Annals of emergency medicine</w:t>
      </w:r>
      <w:r w:rsidRPr="00C959A4">
        <w:rPr>
          <w:rFonts w:ascii="Garamond" w:hAnsi="Garamond" w:cs="Arial"/>
          <w:sz w:val="24"/>
          <w:szCs w:val="24"/>
        </w:rPr>
        <w:t xml:space="preserve">, </w:t>
      </w:r>
      <w:r w:rsidRPr="00C959A4">
        <w:rPr>
          <w:rFonts w:ascii="Garamond" w:hAnsi="Garamond" w:cs="Arial"/>
          <w:i/>
          <w:iCs/>
          <w:sz w:val="24"/>
          <w:szCs w:val="24"/>
        </w:rPr>
        <w:t>45</w:t>
      </w:r>
      <w:r w:rsidRPr="00C959A4">
        <w:rPr>
          <w:rFonts w:ascii="Garamond" w:hAnsi="Garamond" w:cs="Arial"/>
          <w:sz w:val="24"/>
          <w:szCs w:val="24"/>
        </w:rPr>
        <w:t>(1), pp.53-59.</w:t>
      </w:r>
      <w:proofErr w:type="gramEnd"/>
    </w:p>
    <w:p w:rsidR="00CE26D6" w:rsidRPr="00CE26D6" w:rsidRDefault="00CE26D6" w:rsidP="00CE26D6">
      <w:pPr>
        <w:pStyle w:val="ListParagraph"/>
        <w:spacing w:after="0" w:line="276" w:lineRule="auto"/>
        <w:ind w:left="0"/>
        <w:jc w:val="both"/>
        <w:rPr>
          <w:rFonts w:ascii="Garamond" w:hAnsi="Garamond" w:cs="Arial"/>
          <w:sz w:val="6"/>
          <w:szCs w:val="24"/>
        </w:rPr>
      </w:pPr>
    </w:p>
    <w:p w:rsidR="00C959A4" w:rsidRDefault="008C7469" w:rsidP="00CE26D6">
      <w:pPr>
        <w:pStyle w:val="ListParagraph"/>
        <w:spacing w:after="0" w:line="240" w:lineRule="auto"/>
        <w:ind w:left="0"/>
        <w:jc w:val="both"/>
        <w:rPr>
          <w:rFonts w:ascii="Garamond" w:hAnsi="Garamond" w:cs="Arial"/>
          <w:sz w:val="24"/>
          <w:szCs w:val="24"/>
        </w:rPr>
      </w:pPr>
      <w:proofErr w:type="spellStart"/>
      <w:proofErr w:type="gramStart"/>
      <w:r w:rsidRPr="00C959A4">
        <w:rPr>
          <w:rFonts w:ascii="Garamond" w:hAnsi="Garamond" w:cs="Arial"/>
          <w:sz w:val="24"/>
          <w:szCs w:val="24"/>
        </w:rPr>
        <w:t>Dheensa</w:t>
      </w:r>
      <w:proofErr w:type="spellEnd"/>
      <w:r w:rsidRPr="00C959A4">
        <w:rPr>
          <w:rFonts w:ascii="Garamond" w:hAnsi="Garamond" w:cs="Arial"/>
          <w:sz w:val="24"/>
          <w:szCs w:val="24"/>
        </w:rPr>
        <w:t xml:space="preserve">, S., Fenwick, A. and </w:t>
      </w:r>
      <w:proofErr w:type="spellStart"/>
      <w:r w:rsidRPr="00C959A4">
        <w:rPr>
          <w:rFonts w:ascii="Garamond" w:hAnsi="Garamond" w:cs="Arial"/>
          <w:sz w:val="24"/>
          <w:szCs w:val="24"/>
        </w:rPr>
        <w:t>Lucassen</w:t>
      </w:r>
      <w:proofErr w:type="spellEnd"/>
      <w:r w:rsidRPr="00C959A4">
        <w:rPr>
          <w:rFonts w:ascii="Garamond" w:hAnsi="Garamond" w:cs="Arial"/>
          <w:sz w:val="24"/>
          <w:szCs w:val="24"/>
        </w:rPr>
        <w:t>, A. (2016).</w:t>
      </w:r>
      <w:proofErr w:type="gramEnd"/>
      <w:r w:rsidRPr="00C959A4">
        <w:rPr>
          <w:rFonts w:ascii="Garamond" w:hAnsi="Garamond" w:cs="Arial"/>
          <w:sz w:val="24"/>
          <w:szCs w:val="24"/>
        </w:rPr>
        <w:t xml:space="preserve"> ‘Is this knowledge mine and nobody else's? I don't feel that.’ Patient views about consent, confidentiality and information-sharing in genetic medicine. </w:t>
      </w:r>
      <w:proofErr w:type="gramStart"/>
      <w:r w:rsidRPr="00C959A4">
        <w:rPr>
          <w:rFonts w:ascii="Garamond" w:hAnsi="Garamond" w:cs="Arial"/>
          <w:i/>
          <w:iCs/>
          <w:sz w:val="24"/>
          <w:szCs w:val="24"/>
        </w:rPr>
        <w:t>Journal of medical ethics</w:t>
      </w:r>
      <w:r w:rsidRPr="00C959A4">
        <w:rPr>
          <w:rFonts w:ascii="Garamond" w:hAnsi="Garamond" w:cs="Arial"/>
          <w:sz w:val="24"/>
          <w:szCs w:val="24"/>
        </w:rPr>
        <w:t>, pp. medethics-2015.</w:t>
      </w:r>
      <w:proofErr w:type="gramEnd"/>
    </w:p>
    <w:p w:rsidR="00CE26D6" w:rsidRPr="00CE26D6" w:rsidRDefault="00CE26D6" w:rsidP="00CE26D6">
      <w:pPr>
        <w:pStyle w:val="ListParagraph"/>
        <w:spacing w:after="0" w:line="276" w:lineRule="auto"/>
        <w:ind w:left="0"/>
        <w:jc w:val="both"/>
        <w:rPr>
          <w:rFonts w:ascii="Garamond" w:hAnsi="Garamond" w:cs="Arial"/>
          <w:sz w:val="6"/>
          <w:szCs w:val="24"/>
        </w:rPr>
      </w:pPr>
    </w:p>
    <w:p w:rsidR="00C959A4" w:rsidRDefault="008C7469" w:rsidP="00CE26D6">
      <w:pPr>
        <w:pStyle w:val="ListParagraph"/>
        <w:spacing w:after="0" w:line="240" w:lineRule="auto"/>
        <w:ind w:left="0"/>
        <w:jc w:val="both"/>
        <w:rPr>
          <w:rFonts w:ascii="Garamond" w:hAnsi="Garamond" w:cs="Arial"/>
          <w:sz w:val="24"/>
          <w:szCs w:val="24"/>
        </w:rPr>
      </w:pPr>
      <w:proofErr w:type="spellStart"/>
      <w:proofErr w:type="gramStart"/>
      <w:r w:rsidRPr="00C959A4">
        <w:rPr>
          <w:rFonts w:ascii="Garamond" w:hAnsi="Garamond" w:cs="Arial"/>
          <w:sz w:val="24"/>
          <w:szCs w:val="24"/>
        </w:rPr>
        <w:t>Dheensa</w:t>
      </w:r>
      <w:proofErr w:type="spellEnd"/>
      <w:r w:rsidRPr="00C959A4">
        <w:rPr>
          <w:rFonts w:ascii="Garamond" w:hAnsi="Garamond" w:cs="Arial"/>
          <w:sz w:val="24"/>
          <w:szCs w:val="24"/>
        </w:rPr>
        <w:t xml:space="preserve">, S., Fenwick, A. and </w:t>
      </w:r>
      <w:proofErr w:type="spellStart"/>
      <w:r w:rsidRPr="00C959A4">
        <w:rPr>
          <w:rFonts w:ascii="Garamond" w:hAnsi="Garamond" w:cs="Arial"/>
          <w:sz w:val="24"/>
          <w:szCs w:val="24"/>
        </w:rPr>
        <w:t>Lucassen</w:t>
      </w:r>
      <w:proofErr w:type="spellEnd"/>
      <w:r w:rsidRPr="00C959A4">
        <w:rPr>
          <w:rFonts w:ascii="Garamond" w:hAnsi="Garamond" w:cs="Arial"/>
          <w:sz w:val="24"/>
          <w:szCs w:val="24"/>
        </w:rPr>
        <w:t>, A. (2017).</w:t>
      </w:r>
      <w:proofErr w:type="gramEnd"/>
      <w:r w:rsidRPr="00C959A4">
        <w:rPr>
          <w:rFonts w:ascii="Garamond" w:hAnsi="Garamond" w:cs="Arial"/>
          <w:sz w:val="24"/>
          <w:szCs w:val="24"/>
        </w:rPr>
        <w:t xml:space="preserve"> </w:t>
      </w:r>
      <w:proofErr w:type="gramStart"/>
      <w:r w:rsidRPr="00C959A4">
        <w:rPr>
          <w:rFonts w:ascii="Garamond" w:hAnsi="Garamond" w:cs="Arial"/>
          <w:sz w:val="24"/>
          <w:szCs w:val="24"/>
        </w:rPr>
        <w:t>Approaching confidentiality at a familial level in genomic medicine: a focus group study with healthcare professionals.</w:t>
      </w:r>
      <w:proofErr w:type="gramEnd"/>
      <w:r w:rsidRPr="00C959A4">
        <w:rPr>
          <w:rFonts w:ascii="Garamond" w:hAnsi="Garamond" w:cs="Arial"/>
          <w:sz w:val="24"/>
          <w:szCs w:val="24"/>
        </w:rPr>
        <w:t xml:space="preserve"> </w:t>
      </w:r>
      <w:r w:rsidRPr="00C959A4">
        <w:rPr>
          <w:rFonts w:ascii="Garamond" w:hAnsi="Garamond" w:cs="Arial"/>
          <w:i/>
          <w:iCs/>
          <w:sz w:val="24"/>
          <w:szCs w:val="24"/>
        </w:rPr>
        <w:t>BMJ open</w:t>
      </w:r>
      <w:r w:rsidRPr="00C959A4">
        <w:rPr>
          <w:rFonts w:ascii="Garamond" w:hAnsi="Garamond" w:cs="Arial"/>
          <w:sz w:val="24"/>
          <w:szCs w:val="24"/>
        </w:rPr>
        <w:t xml:space="preserve">, </w:t>
      </w:r>
      <w:r w:rsidRPr="00C959A4">
        <w:rPr>
          <w:rFonts w:ascii="Garamond" w:hAnsi="Garamond" w:cs="Arial"/>
          <w:i/>
          <w:iCs/>
          <w:sz w:val="24"/>
          <w:szCs w:val="24"/>
        </w:rPr>
        <w:t>7</w:t>
      </w:r>
      <w:r w:rsidRPr="00C959A4">
        <w:rPr>
          <w:rFonts w:ascii="Garamond" w:hAnsi="Garamond" w:cs="Arial"/>
          <w:sz w:val="24"/>
          <w:szCs w:val="24"/>
        </w:rPr>
        <w:t>(2), p.e012443.</w:t>
      </w:r>
    </w:p>
    <w:p w:rsidR="00CE26D6" w:rsidRPr="00CE26D6" w:rsidRDefault="00CE26D6" w:rsidP="00CE26D6">
      <w:pPr>
        <w:pStyle w:val="ListParagraph"/>
        <w:spacing w:after="0" w:line="276" w:lineRule="auto"/>
        <w:ind w:left="0"/>
        <w:jc w:val="both"/>
        <w:rPr>
          <w:rFonts w:ascii="Garamond" w:hAnsi="Garamond" w:cs="Arial"/>
          <w:sz w:val="6"/>
          <w:szCs w:val="24"/>
        </w:rPr>
      </w:pPr>
    </w:p>
    <w:p w:rsidR="00C959A4" w:rsidRDefault="008C7469" w:rsidP="00CE26D6">
      <w:pPr>
        <w:pStyle w:val="ListParagraph"/>
        <w:spacing w:after="0" w:line="276" w:lineRule="auto"/>
        <w:ind w:left="0"/>
        <w:jc w:val="both"/>
        <w:rPr>
          <w:rFonts w:ascii="Garamond" w:hAnsi="Garamond" w:cs="Arial"/>
          <w:sz w:val="24"/>
          <w:szCs w:val="24"/>
        </w:rPr>
      </w:pPr>
      <w:r w:rsidRPr="00C959A4">
        <w:rPr>
          <w:rFonts w:ascii="Garamond" w:hAnsi="Garamond" w:cs="Arial"/>
          <w:sz w:val="24"/>
          <w:szCs w:val="24"/>
        </w:rPr>
        <w:t xml:space="preserve">Saunders, J., 2016. </w:t>
      </w:r>
      <w:proofErr w:type="gramStart"/>
      <w:r w:rsidRPr="00C959A4">
        <w:rPr>
          <w:rFonts w:ascii="Garamond" w:hAnsi="Garamond" w:cs="Arial"/>
          <w:sz w:val="24"/>
          <w:szCs w:val="24"/>
        </w:rPr>
        <w:t>Confidentiality.</w:t>
      </w:r>
      <w:proofErr w:type="gramEnd"/>
      <w:r w:rsidRPr="00C959A4">
        <w:rPr>
          <w:rFonts w:ascii="Garamond" w:hAnsi="Garamond" w:cs="Arial"/>
          <w:sz w:val="24"/>
          <w:szCs w:val="24"/>
        </w:rPr>
        <w:t xml:space="preserve"> </w:t>
      </w:r>
      <w:proofErr w:type="gramStart"/>
      <w:r w:rsidRPr="00C959A4">
        <w:rPr>
          <w:rFonts w:ascii="Garamond" w:hAnsi="Garamond" w:cs="Arial"/>
          <w:i/>
          <w:iCs/>
          <w:sz w:val="24"/>
          <w:szCs w:val="24"/>
        </w:rPr>
        <w:t>Medicine</w:t>
      </w:r>
      <w:r w:rsidRPr="00C959A4">
        <w:rPr>
          <w:rFonts w:ascii="Garamond" w:hAnsi="Garamond" w:cs="Arial"/>
          <w:sz w:val="24"/>
          <w:szCs w:val="24"/>
        </w:rPr>
        <w:t xml:space="preserve">, </w:t>
      </w:r>
      <w:r w:rsidRPr="00C959A4">
        <w:rPr>
          <w:rFonts w:ascii="Garamond" w:hAnsi="Garamond" w:cs="Arial"/>
          <w:i/>
          <w:iCs/>
          <w:sz w:val="24"/>
          <w:szCs w:val="24"/>
        </w:rPr>
        <w:t>44</w:t>
      </w:r>
      <w:r w:rsidRPr="00C959A4">
        <w:rPr>
          <w:rFonts w:ascii="Garamond" w:hAnsi="Garamond" w:cs="Arial"/>
          <w:sz w:val="24"/>
          <w:szCs w:val="24"/>
        </w:rPr>
        <w:t>(10), pp.596-597.</w:t>
      </w:r>
      <w:proofErr w:type="gramEnd"/>
    </w:p>
    <w:p w:rsidR="00CE26D6" w:rsidRPr="00CE26D6" w:rsidRDefault="00CE26D6" w:rsidP="00CE26D6">
      <w:pPr>
        <w:pStyle w:val="ListParagraph"/>
        <w:spacing w:after="0" w:line="276" w:lineRule="auto"/>
        <w:ind w:left="0"/>
        <w:jc w:val="both"/>
        <w:rPr>
          <w:rFonts w:ascii="Garamond" w:hAnsi="Garamond" w:cs="Arial"/>
          <w:sz w:val="6"/>
          <w:szCs w:val="24"/>
        </w:rPr>
      </w:pPr>
    </w:p>
    <w:p w:rsidR="00CE26D6" w:rsidRDefault="008C7469" w:rsidP="00CE26D6">
      <w:pPr>
        <w:pStyle w:val="ListParagraph"/>
        <w:spacing w:after="0" w:line="276" w:lineRule="auto"/>
        <w:ind w:left="0"/>
        <w:jc w:val="both"/>
        <w:rPr>
          <w:rFonts w:ascii="Garamond" w:hAnsi="Garamond" w:cs="Arial"/>
          <w:sz w:val="24"/>
          <w:szCs w:val="24"/>
        </w:rPr>
      </w:pPr>
      <w:proofErr w:type="gramStart"/>
      <w:r w:rsidRPr="00C959A4">
        <w:rPr>
          <w:rFonts w:ascii="Garamond" w:hAnsi="Garamond" w:cs="Arial"/>
          <w:sz w:val="24"/>
          <w:szCs w:val="24"/>
        </w:rPr>
        <w:t>Self, D.J. (2011).</w:t>
      </w:r>
      <w:proofErr w:type="gramEnd"/>
      <w:r w:rsidRPr="00C959A4">
        <w:rPr>
          <w:rFonts w:ascii="Garamond" w:hAnsi="Garamond" w:cs="Arial"/>
          <w:sz w:val="24"/>
          <w:szCs w:val="24"/>
        </w:rPr>
        <w:t xml:space="preserve"> </w:t>
      </w:r>
      <w:proofErr w:type="gramStart"/>
      <w:r w:rsidRPr="00C959A4">
        <w:rPr>
          <w:rFonts w:ascii="Garamond" w:hAnsi="Garamond" w:cs="Arial"/>
          <w:sz w:val="24"/>
          <w:szCs w:val="24"/>
        </w:rPr>
        <w:t>Confidentiality in Medicine.</w:t>
      </w:r>
      <w:proofErr w:type="gramEnd"/>
      <w:r w:rsidRPr="00C959A4">
        <w:rPr>
          <w:rFonts w:ascii="Garamond" w:hAnsi="Garamond" w:cs="Arial"/>
          <w:sz w:val="24"/>
          <w:szCs w:val="24"/>
        </w:rPr>
        <w:t xml:space="preserve"> </w:t>
      </w:r>
      <w:proofErr w:type="gramStart"/>
      <w:r w:rsidRPr="00C959A4">
        <w:rPr>
          <w:rFonts w:ascii="Garamond" w:hAnsi="Garamond" w:cs="Arial"/>
          <w:i/>
          <w:iCs/>
          <w:sz w:val="24"/>
          <w:szCs w:val="24"/>
        </w:rPr>
        <w:t xml:space="preserve">Annals of </w:t>
      </w:r>
      <w:proofErr w:type="spellStart"/>
      <w:r w:rsidRPr="00C959A4">
        <w:rPr>
          <w:rFonts w:ascii="Garamond" w:hAnsi="Garamond" w:cs="Arial"/>
          <w:i/>
          <w:iCs/>
          <w:sz w:val="24"/>
          <w:szCs w:val="24"/>
        </w:rPr>
        <w:t>Behavioral</w:t>
      </w:r>
      <w:proofErr w:type="spellEnd"/>
      <w:r w:rsidRPr="00C959A4">
        <w:rPr>
          <w:rFonts w:ascii="Garamond" w:hAnsi="Garamond" w:cs="Arial"/>
          <w:i/>
          <w:iCs/>
          <w:sz w:val="24"/>
          <w:szCs w:val="24"/>
        </w:rPr>
        <w:t xml:space="preserve"> Science and Medical Education</w:t>
      </w:r>
      <w:r w:rsidRPr="00C959A4">
        <w:rPr>
          <w:rFonts w:ascii="Garamond" w:hAnsi="Garamond" w:cs="Arial"/>
          <w:sz w:val="24"/>
          <w:szCs w:val="24"/>
        </w:rPr>
        <w:t xml:space="preserve">, </w:t>
      </w:r>
      <w:r w:rsidRPr="00C959A4">
        <w:rPr>
          <w:rFonts w:ascii="Garamond" w:hAnsi="Garamond" w:cs="Arial"/>
          <w:i/>
          <w:iCs/>
          <w:sz w:val="24"/>
          <w:szCs w:val="24"/>
        </w:rPr>
        <w:t>17</w:t>
      </w:r>
      <w:r w:rsidRPr="00C959A4">
        <w:rPr>
          <w:rFonts w:ascii="Garamond" w:hAnsi="Garamond" w:cs="Arial"/>
          <w:sz w:val="24"/>
          <w:szCs w:val="24"/>
        </w:rPr>
        <w:t>(2), pp.32-34.</w:t>
      </w:r>
      <w:proofErr w:type="gramEnd"/>
      <w:r w:rsidRPr="00C959A4">
        <w:rPr>
          <w:rFonts w:ascii="Garamond" w:hAnsi="Garamond" w:cs="Arial"/>
          <w:sz w:val="24"/>
          <w:szCs w:val="24"/>
        </w:rPr>
        <w:t xml:space="preserve"> </w:t>
      </w:r>
    </w:p>
    <w:p w:rsidR="00CE26D6" w:rsidRPr="00CE26D6" w:rsidRDefault="00CE26D6" w:rsidP="00CE26D6">
      <w:pPr>
        <w:pStyle w:val="ListParagraph"/>
        <w:spacing w:after="0" w:line="276" w:lineRule="auto"/>
        <w:ind w:left="0"/>
        <w:jc w:val="both"/>
        <w:rPr>
          <w:rFonts w:ascii="Garamond" w:hAnsi="Garamond" w:cs="Arial"/>
          <w:sz w:val="6"/>
          <w:szCs w:val="24"/>
        </w:rPr>
      </w:pPr>
    </w:p>
    <w:p w:rsidR="00C959A4" w:rsidRDefault="008C7469" w:rsidP="00CE26D6">
      <w:pPr>
        <w:pStyle w:val="ListParagraph"/>
        <w:spacing w:after="0" w:line="240" w:lineRule="auto"/>
        <w:ind w:left="0"/>
        <w:jc w:val="both"/>
        <w:rPr>
          <w:rFonts w:ascii="Garamond" w:hAnsi="Garamond" w:cs="Arial"/>
          <w:sz w:val="24"/>
          <w:szCs w:val="24"/>
        </w:rPr>
      </w:pPr>
      <w:proofErr w:type="gramStart"/>
      <w:r w:rsidRPr="00C959A4">
        <w:rPr>
          <w:rFonts w:ascii="Garamond" w:hAnsi="Garamond" w:cs="Arial"/>
          <w:sz w:val="24"/>
          <w:szCs w:val="24"/>
        </w:rPr>
        <w:t>Shepherd, J.P. and Farrington, D.P. (1995) Preventing crime and violence.</w:t>
      </w:r>
      <w:proofErr w:type="gramEnd"/>
      <w:r w:rsidRPr="00C959A4">
        <w:rPr>
          <w:rFonts w:ascii="Garamond" w:hAnsi="Garamond" w:cs="Arial"/>
          <w:sz w:val="24"/>
          <w:szCs w:val="24"/>
        </w:rPr>
        <w:t xml:space="preserve"> </w:t>
      </w:r>
      <w:r w:rsidRPr="00C959A4">
        <w:rPr>
          <w:rFonts w:ascii="Garamond" w:hAnsi="Garamond" w:cs="Arial"/>
          <w:i/>
          <w:iCs/>
          <w:sz w:val="24"/>
          <w:szCs w:val="24"/>
        </w:rPr>
        <w:t>BMJ: British Medical Journal</w:t>
      </w:r>
      <w:r w:rsidRPr="00C959A4">
        <w:rPr>
          <w:rFonts w:ascii="Garamond" w:hAnsi="Garamond" w:cs="Arial"/>
          <w:sz w:val="24"/>
          <w:szCs w:val="24"/>
        </w:rPr>
        <w:t xml:space="preserve">, </w:t>
      </w:r>
      <w:r w:rsidRPr="00C959A4">
        <w:rPr>
          <w:rFonts w:ascii="Garamond" w:hAnsi="Garamond" w:cs="Arial"/>
          <w:i/>
          <w:iCs/>
          <w:sz w:val="24"/>
          <w:szCs w:val="24"/>
        </w:rPr>
        <w:t>310</w:t>
      </w:r>
      <w:r w:rsidRPr="00C959A4">
        <w:rPr>
          <w:rFonts w:ascii="Garamond" w:hAnsi="Garamond" w:cs="Arial"/>
          <w:sz w:val="24"/>
          <w:szCs w:val="24"/>
        </w:rPr>
        <w:t>(6975), p.271.</w:t>
      </w:r>
    </w:p>
    <w:p w:rsidR="00CE26D6" w:rsidRPr="00CE26D6" w:rsidRDefault="00CE26D6" w:rsidP="00CE26D6">
      <w:pPr>
        <w:pStyle w:val="ListParagraph"/>
        <w:spacing w:after="0" w:line="276" w:lineRule="auto"/>
        <w:ind w:left="0"/>
        <w:jc w:val="both"/>
        <w:rPr>
          <w:rFonts w:ascii="Garamond" w:hAnsi="Garamond" w:cs="Arial"/>
          <w:sz w:val="6"/>
          <w:szCs w:val="24"/>
        </w:rPr>
      </w:pPr>
    </w:p>
    <w:p w:rsidR="00C959A4" w:rsidRDefault="008C7469" w:rsidP="00CE26D6">
      <w:pPr>
        <w:pStyle w:val="ListParagraph"/>
        <w:spacing w:after="0" w:line="276" w:lineRule="auto"/>
        <w:ind w:left="0"/>
        <w:jc w:val="both"/>
        <w:rPr>
          <w:rFonts w:ascii="Garamond" w:hAnsi="Garamond" w:cs="Arial"/>
          <w:sz w:val="24"/>
          <w:szCs w:val="24"/>
        </w:rPr>
      </w:pPr>
      <w:proofErr w:type="spellStart"/>
      <w:proofErr w:type="gramStart"/>
      <w:r w:rsidRPr="00C959A4">
        <w:rPr>
          <w:rFonts w:ascii="Garamond" w:hAnsi="Garamond" w:cs="Arial"/>
          <w:sz w:val="24"/>
          <w:szCs w:val="24"/>
        </w:rPr>
        <w:t>Siegler</w:t>
      </w:r>
      <w:proofErr w:type="spellEnd"/>
      <w:r w:rsidRPr="00C959A4">
        <w:rPr>
          <w:rFonts w:ascii="Garamond" w:hAnsi="Garamond" w:cs="Arial"/>
          <w:sz w:val="24"/>
          <w:szCs w:val="24"/>
        </w:rPr>
        <w:t>, Mark (1982) Confidentiality in medicine—a decrepit concept."</w:t>
      </w:r>
      <w:proofErr w:type="gramEnd"/>
      <w:r w:rsidRPr="00C959A4">
        <w:rPr>
          <w:rFonts w:ascii="Garamond" w:hAnsi="Garamond" w:cs="Arial"/>
          <w:sz w:val="24"/>
          <w:szCs w:val="24"/>
        </w:rPr>
        <w:t xml:space="preserve"> New England Journal of medicine, 1518-1521.</w:t>
      </w:r>
    </w:p>
    <w:p w:rsidR="00CE26D6" w:rsidRPr="00CE26D6" w:rsidRDefault="00CE26D6" w:rsidP="00CE26D6">
      <w:pPr>
        <w:pStyle w:val="ListParagraph"/>
        <w:spacing w:after="0" w:line="276" w:lineRule="auto"/>
        <w:ind w:left="0"/>
        <w:jc w:val="both"/>
        <w:rPr>
          <w:rFonts w:ascii="Garamond" w:hAnsi="Garamond" w:cs="Arial"/>
          <w:sz w:val="6"/>
          <w:szCs w:val="24"/>
        </w:rPr>
      </w:pPr>
    </w:p>
    <w:p w:rsidR="008C7469" w:rsidRDefault="008C7469" w:rsidP="00CE26D6">
      <w:pPr>
        <w:pStyle w:val="ListParagraph"/>
        <w:spacing w:after="0" w:line="240" w:lineRule="auto"/>
        <w:ind w:left="0"/>
        <w:jc w:val="both"/>
        <w:rPr>
          <w:rFonts w:ascii="Garamond" w:hAnsi="Garamond" w:cs="Arial"/>
          <w:sz w:val="24"/>
          <w:szCs w:val="24"/>
        </w:rPr>
      </w:pPr>
      <w:proofErr w:type="gramStart"/>
      <w:r w:rsidRPr="00C959A4">
        <w:rPr>
          <w:rFonts w:ascii="Garamond" w:hAnsi="Garamond" w:cs="Arial"/>
          <w:sz w:val="24"/>
          <w:szCs w:val="24"/>
        </w:rPr>
        <w:t xml:space="preserve">Thompson, J.J (1976) A </w:t>
      </w:r>
      <w:proofErr w:type="spellStart"/>
      <w:r w:rsidRPr="00C959A4">
        <w:rPr>
          <w:rFonts w:ascii="Garamond" w:hAnsi="Garamond" w:cs="Arial"/>
          <w:sz w:val="24"/>
          <w:szCs w:val="24"/>
        </w:rPr>
        <w:t>defense</w:t>
      </w:r>
      <w:proofErr w:type="spellEnd"/>
      <w:r w:rsidRPr="00C959A4">
        <w:rPr>
          <w:rFonts w:ascii="Garamond" w:hAnsi="Garamond" w:cs="Arial"/>
          <w:sz w:val="24"/>
          <w:szCs w:val="24"/>
        </w:rPr>
        <w:t xml:space="preserve"> of abortion.</w:t>
      </w:r>
      <w:proofErr w:type="gramEnd"/>
      <w:r w:rsidRPr="00C959A4">
        <w:rPr>
          <w:rFonts w:ascii="Garamond" w:hAnsi="Garamond" w:cs="Arial"/>
          <w:sz w:val="24"/>
          <w:szCs w:val="24"/>
        </w:rPr>
        <w:t xml:space="preserve"> </w:t>
      </w:r>
      <w:proofErr w:type="gramStart"/>
      <w:r w:rsidRPr="00C959A4">
        <w:rPr>
          <w:rFonts w:ascii="Garamond" w:hAnsi="Garamond" w:cs="Arial"/>
          <w:sz w:val="24"/>
          <w:szCs w:val="24"/>
        </w:rPr>
        <w:t>In Editor?</w:t>
      </w:r>
      <w:proofErr w:type="gramEnd"/>
      <w:r w:rsidRPr="00C959A4">
        <w:rPr>
          <w:rFonts w:ascii="Garamond" w:hAnsi="Garamond" w:cs="Arial"/>
          <w:sz w:val="24"/>
          <w:szCs w:val="24"/>
        </w:rPr>
        <w:t xml:space="preserve"> </w:t>
      </w:r>
      <w:proofErr w:type="gramStart"/>
      <w:r w:rsidRPr="00C959A4">
        <w:rPr>
          <w:rFonts w:ascii="Garamond" w:hAnsi="Garamond" w:cs="Arial"/>
          <w:sz w:val="24"/>
          <w:szCs w:val="24"/>
        </w:rPr>
        <w:t>Biomedical ethics and law.</w:t>
      </w:r>
      <w:proofErr w:type="gramEnd"/>
      <w:r w:rsidRPr="00C959A4">
        <w:rPr>
          <w:rFonts w:ascii="Garamond" w:hAnsi="Garamond" w:cs="Arial"/>
          <w:sz w:val="24"/>
          <w:szCs w:val="24"/>
        </w:rPr>
        <w:t xml:space="preserve"> New York Springer pp 39-54.</w:t>
      </w:r>
    </w:p>
    <w:p w:rsidR="00CE26D6" w:rsidRPr="00C959A4" w:rsidRDefault="00CE26D6" w:rsidP="00CE26D6">
      <w:pPr>
        <w:pStyle w:val="ListParagraph"/>
        <w:spacing w:after="0" w:line="240" w:lineRule="auto"/>
        <w:ind w:left="0"/>
        <w:jc w:val="both"/>
        <w:rPr>
          <w:rFonts w:ascii="Garamond" w:hAnsi="Garamond" w:cs="Arial"/>
          <w:sz w:val="24"/>
          <w:szCs w:val="24"/>
        </w:rPr>
      </w:pPr>
    </w:p>
    <w:p w:rsidR="008C7469" w:rsidRPr="00CE26D6" w:rsidRDefault="008C7469" w:rsidP="008C7469">
      <w:pPr>
        <w:spacing w:after="0"/>
        <w:jc w:val="both"/>
        <w:rPr>
          <w:rFonts w:ascii="Garamond" w:hAnsi="Garamond" w:cs="Arial"/>
          <w:sz w:val="6"/>
          <w:szCs w:val="24"/>
        </w:rPr>
      </w:pP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Cases</w:t>
      </w: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ABC vs St George’s NHS Trust [2015] EWHC 1394 QB</w:t>
      </w: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Campbell vs MGN Ltd [2004] 2AC 457</w:t>
      </w: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W. vs </w:t>
      </w:r>
      <w:proofErr w:type="spellStart"/>
      <w:r w:rsidRPr="00FD770B">
        <w:rPr>
          <w:rFonts w:ascii="Garamond" w:hAnsi="Garamond" w:cs="Arial"/>
          <w:sz w:val="24"/>
          <w:szCs w:val="24"/>
        </w:rPr>
        <w:t>Egdell</w:t>
      </w:r>
      <w:proofErr w:type="spellEnd"/>
      <w:r w:rsidRPr="00FD770B">
        <w:rPr>
          <w:rFonts w:ascii="Garamond" w:hAnsi="Garamond" w:cs="Arial"/>
          <w:sz w:val="24"/>
          <w:szCs w:val="24"/>
        </w:rPr>
        <w:t xml:space="preserve">: CA [1990] 1 </w:t>
      </w:r>
      <w:proofErr w:type="spellStart"/>
      <w:r w:rsidRPr="00FD770B">
        <w:rPr>
          <w:rFonts w:ascii="Garamond" w:hAnsi="Garamond" w:cs="Arial"/>
          <w:sz w:val="24"/>
          <w:szCs w:val="24"/>
        </w:rPr>
        <w:t>Ch</w:t>
      </w:r>
      <w:proofErr w:type="spellEnd"/>
      <w:r w:rsidRPr="00FD770B">
        <w:rPr>
          <w:rFonts w:ascii="Garamond" w:hAnsi="Garamond" w:cs="Arial"/>
          <w:sz w:val="24"/>
          <w:szCs w:val="24"/>
        </w:rPr>
        <w:t xml:space="preserve"> 359 [1990] 2WLR 471</w:t>
      </w: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Palmer vs Tees Health Authority [1999] EWCA </w:t>
      </w:r>
      <w:proofErr w:type="spellStart"/>
      <w:r w:rsidRPr="00FD770B">
        <w:rPr>
          <w:rFonts w:ascii="Garamond" w:hAnsi="Garamond" w:cs="Arial"/>
          <w:sz w:val="24"/>
          <w:szCs w:val="24"/>
        </w:rPr>
        <w:t>Civ</w:t>
      </w:r>
      <w:proofErr w:type="spellEnd"/>
      <w:r w:rsidRPr="00FD770B">
        <w:rPr>
          <w:rFonts w:ascii="Garamond" w:hAnsi="Garamond" w:cs="Arial"/>
          <w:sz w:val="24"/>
          <w:szCs w:val="24"/>
        </w:rPr>
        <w:t xml:space="preserve"> 1533</w:t>
      </w:r>
    </w:p>
    <w:p w:rsidR="008C7469" w:rsidRPr="00FD770B" w:rsidRDefault="008C7469" w:rsidP="008C7469">
      <w:pPr>
        <w:spacing w:after="0"/>
        <w:jc w:val="both"/>
        <w:rPr>
          <w:rFonts w:ascii="Garamond" w:hAnsi="Garamond" w:cs="Arial"/>
          <w:sz w:val="24"/>
          <w:szCs w:val="24"/>
        </w:rPr>
      </w:pPr>
      <w:r w:rsidRPr="00FD770B">
        <w:rPr>
          <w:rFonts w:ascii="Garamond" w:hAnsi="Garamond" w:cs="Arial"/>
          <w:sz w:val="24"/>
          <w:szCs w:val="24"/>
        </w:rPr>
        <w:t xml:space="preserve">Selwood vs Durham County Council; Tees </w:t>
      </w:r>
      <w:proofErr w:type="spellStart"/>
      <w:r w:rsidRPr="00FD770B">
        <w:rPr>
          <w:rFonts w:ascii="Garamond" w:hAnsi="Garamond" w:cs="Arial"/>
          <w:sz w:val="24"/>
          <w:szCs w:val="24"/>
        </w:rPr>
        <w:t>Esk</w:t>
      </w:r>
      <w:proofErr w:type="spellEnd"/>
      <w:r w:rsidRPr="00FD770B">
        <w:rPr>
          <w:rFonts w:ascii="Garamond" w:hAnsi="Garamond" w:cs="Arial"/>
          <w:sz w:val="24"/>
          <w:szCs w:val="24"/>
        </w:rPr>
        <w:t xml:space="preserve"> &amp; Wear NHS Trust &amp; North Tyneside NHS trust [2012] EWCA </w:t>
      </w:r>
      <w:proofErr w:type="spellStart"/>
      <w:r w:rsidRPr="00FD770B">
        <w:rPr>
          <w:rFonts w:ascii="Garamond" w:hAnsi="Garamond" w:cs="Arial"/>
          <w:sz w:val="24"/>
          <w:szCs w:val="24"/>
        </w:rPr>
        <w:t>Civ</w:t>
      </w:r>
      <w:proofErr w:type="spellEnd"/>
      <w:r w:rsidRPr="00FD770B">
        <w:rPr>
          <w:rFonts w:ascii="Garamond" w:hAnsi="Garamond" w:cs="Arial"/>
          <w:sz w:val="24"/>
          <w:szCs w:val="24"/>
        </w:rPr>
        <w:t xml:space="preserve"> 971</w:t>
      </w:r>
    </w:p>
    <w:p w:rsidR="00D5426B" w:rsidRPr="00FD770B" w:rsidRDefault="008C7469" w:rsidP="008C7469">
      <w:pPr>
        <w:spacing w:after="0"/>
        <w:jc w:val="both"/>
        <w:rPr>
          <w:rFonts w:ascii="Garamond" w:hAnsi="Garamond" w:cs="Arial"/>
          <w:sz w:val="24"/>
          <w:szCs w:val="24"/>
        </w:rPr>
      </w:pPr>
      <w:proofErr w:type="spellStart"/>
      <w:r w:rsidRPr="00FD770B">
        <w:rPr>
          <w:rFonts w:ascii="Garamond" w:hAnsi="Garamond" w:cs="Arial"/>
          <w:sz w:val="24"/>
          <w:szCs w:val="24"/>
        </w:rPr>
        <w:t>Tarasoff</w:t>
      </w:r>
      <w:proofErr w:type="spellEnd"/>
      <w:r w:rsidRPr="00FD770B">
        <w:rPr>
          <w:rFonts w:ascii="Garamond" w:hAnsi="Garamond" w:cs="Arial"/>
          <w:sz w:val="24"/>
          <w:szCs w:val="24"/>
        </w:rPr>
        <w:t xml:space="preserve"> vs Regents of the University of California</w:t>
      </w:r>
    </w:p>
    <w:sectPr w:rsidR="00D5426B" w:rsidRPr="00FD770B" w:rsidSect="00521ABB">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454"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60D" w:rsidRDefault="0026260D" w:rsidP="008C7469">
      <w:pPr>
        <w:spacing w:after="0" w:line="240" w:lineRule="auto"/>
      </w:pPr>
      <w:r>
        <w:separator/>
      </w:r>
    </w:p>
  </w:endnote>
  <w:endnote w:type="continuationSeparator" w:id="0">
    <w:p w:rsidR="0026260D" w:rsidRDefault="0026260D" w:rsidP="008C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ABB" w:rsidRDefault="00521A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rPr>
      <w:id w:val="1739826186"/>
      <w:docPartObj>
        <w:docPartGallery w:val="Page Numbers (Bottom of Page)"/>
        <w:docPartUnique/>
      </w:docPartObj>
    </w:sdtPr>
    <w:sdtEndPr>
      <w:rPr>
        <w:noProof/>
      </w:rPr>
    </w:sdtEndPr>
    <w:sdtContent>
      <w:p w:rsidR="008C7469" w:rsidRPr="008C7469" w:rsidRDefault="008C7469">
        <w:pPr>
          <w:pStyle w:val="Footer"/>
          <w:jc w:val="center"/>
          <w:rPr>
            <w:rFonts w:ascii="Garamond" w:hAnsi="Garamond"/>
            <w:sz w:val="20"/>
          </w:rPr>
        </w:pPr>
        <w:r w:rsidRPr="008C7469">
          <w:rPr>
            <w:rFonts w:ascii="Garamond" w:hAnsi="Garamond"/>
            <w:sz w:val="20"/>
          </w:rPr>
          <w:fldChar w:fldCharType="begin"/>
        </w:r>
        <w:r w:rsidRPr="008C7469">
          <w:rPr>
            <w:rFonts w:ascii="Garamond" w:hAnsi="Garamond"/>
            <w:sz w:val="20"/>
          </w:rPr>
          <w:instrText xml:space="preserve"> PAGE   \* MERGEFORMAT </w:instrText>
        </w:r>
        <w:r w:rsidRPr="008C7469">
          <w:rPr>
            <w:rFonts w:ascii="Garamond" w:hAnsi="Garamond"/>
            <w:sz w:val="20"/>
          </w:rPr>
          <w:fldChar w:fldCharType="separate"/>
        </w:r>
        <w:r w:rsidR="00A70D2C">
          <w:rPr>
            <w:rFonts w:ascii="Garamond" w:hAnsi="Garamond"/>
            <w:noProof/>
            <w:sz w:val="20"/>
          </w:rPr>
          <w:t>8</w:t>
        </w:r>
        <w:r w:rsidRPr="008C7469">
          <w:rPr>
            <w:rFonts w:ascii="Garamond" w:hAnsi="Garamond"/>
            <w:noProof/>
            <w:sz w:val="20"/>
          </w:rPr>
          <w:fldChar w:fldCharType="end"/>
        </w:r>
      </w:p>
    </w:sdtContent>
  </w:sdt>
  <w:p w:rsidR="007F147B" w:rsidRDefault="002626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ABB" w:rsidRDefault="00521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60D" w:rsidRDefault="0026260D" w:rsidP="008C7469">
      <w:pPr>
        <w:spacing w:after="0" w:line="240" w:lineRule="auto"/>
      </w:pPr>
      <w:r>
        <w:separator/>
      </w:r>
    </w:p>
  </w:footnote>
  <w:footnote w:type="continuationSeparator" w:id="0">
    <w:p w:rsidR="0026260D" w:rsidRDefault="0026260D" w:rsidP="008C7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ABB" w:rsidRDefault="00521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469" w:rsidRDefault="008C7469" w:rsidP="008C7469">
    <w:pPr>
      <w:pStyle w:val="Header"/>
      <w:jc w:val="right"/>
    </w:pPr>
    <w:r>
      <w:rPr>
        <w:noProof/>
        <w:lang w:eastAsia="en-GB"/>
      </w:rPr>
      <w:drawing>
        <wp:inline distT="0" distB="0" distL="0" distR="0" wp14:anchorId="62838EDC" wp14:editId="6C0C8009">
          <wp:extent cx="695325" cy="200025"/>
          <wp:effectExtent l="0" t="0" r="9525" b="9525"/>
          <wp:docPr id="15" name="Picture 1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ABB" w:rsidRDefault="00521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3FCE"/>
    <w:multiLevelType w:val="hybridMultilevel"/>
    <w:tmpl w:val="E0BE8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69"/>
    <w:rsid w:val="00110059"/>
    <w:rsid w:val="001A4370"/>
    <w:rsid w:val="00234B4B"/>
    <w:rsid w:val="0026260D"/>
    <w:rsid w:val="00287688"/>
    <w:rsid w:val="002960A8"/>
    <w:rsid w:val="00521ABB"/>
    <w:rsid w:val="00797334"/>
    <w:rsid w:val="008C7469"/>
    <w:rsid w:val="00A70D2C"/>
    <w:rsid w:val="00C81533"/>
    <w:rsid w:val="00C959A4"/>
    <w:rsid w:val="00CE26D6"/>
    <w:rsid w:val="00D5426B"/>
    <w:rsid w:val="00F30B72"/>
    <w:rsid w:val="00FD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469"/>
    <w:pPr>
      <w:spacing w:after="160" w:line="259" w:lineRule="auto"/>
    </w:pPr>
  </w:style>
  <w:style w:type="paragraph" w:styleId="Heading1">
    <w:name w:val="heading 1"/>
    <w:basedOn w:val="Normal"/>
    <w:next w:val="Normal"/>
    <w:link w:val="Heading1Char"/>
    <w:uiPriority w:val="99"/>
    <w:qFormat/>
    <w:rsid w:val="00FD770B"/>
    <w:pPr>
      <w:keepNext/>
      <w:keepLines/>
      <w:spacing w:before="120" w:after="0" w:line="276" w:lineRule="auto"/>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7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469"/>
  </w:style>
  <w:style w:type="paragraph" w:styleId="NormalWeb">
    <w:name w:val="Normal (Web)"/>
    <w:basedOn w:val="Normal"/>
    <w:unhideWhenUsed/>
    <w:rsid w:val="008C74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C7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469"/>
  </w:style>
  <w:style w:type="paragraph" w:styleId="BalloonText">
    <w:name w:val="Balloon Text"/>
    <w:basedOn w:val="Normal"/>
    <w:link w:val="BalloonTextChar"/>
    <w:uiPriority w:val="99"/>
    <w:semiHidden/>
    <w:unhideWhenUsed/>
    <w:rsid w:val="008C7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469"/>
    <w:rPr>
      <w:rFonts w:ascii="Tahoma" w:hAnsi="Tahoma" w:cs="Tahoma"/>
      <w:sz w:val="16"/>
      <w:szCs w:val="16"/>
    </w:rPr>
  </w:style>
  <w:style w:type="character" w:styleId="Hyperlink">
    <w:name w:val="Hyperlink"/>
    <w:basedOn w:val="DefaultParagraphFont"/>
    <w:uiPriority w:val="99"/>
    <w:unhideWhenUsed/>
    <w:rsid w:val="00FD770B"/>
    <w:rPr>
      <w:color w:val="0000FF" w:themeColor="hyperlink"/>
      <w:u w:val="single"/>
    </w:rPr>
  </w:style>
  <w:style w:type="character" w:customStyle="1" w:styleId="Heading1Char">
    <w:name w:val="Heading 1 Char"/>
    <w:basedOn w:val="DefaultParagraphFont"/>
    <w:link w:val="Heading1"/>
    <w:uiPriority w:val="99"/>
    <w:rsid w:val="00FD770B"/>
    <w:rPr>
      <w:rFonts w:ascii="Maiandra GD" w:eastAsia="Calibri" w:hAnsi="Maiandra GD" w:cs="Times New Roman"/>
      <w:b/>
      <w:smallCaps/>
      <w:color w:val="244061"/>
      <w:sz w:val="28"/>
      <w:szCs w:val="20"/>
      <w:lang w:eastAsia="ja-JP"/>
    </w:rPr>
  </w:style>
  <w:style w:type="paragraph" w:styleId="ListParagraph">
    <w:name w:val="List Paragraph"/>
    <w:basedOn w:val="Normal"/>
    <w:uiPriority w:val="34"/>
    <w:qFormat/>
    <w:rsid w:val="00C959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469"/>
    <w:pPr>
      <w:spacing w:after="160" w:line="259" w:lineRule="auto"/>
    </w:pPr>
  </w:style>
  <w:style w:type="paragraph" w:styleId="Heading1">
    <w:name w:val="heading 1"/>
    <w:basedOn w:val="Normal"/>
    <w:next w:val="Normal"/>
    <w:link w:val="Heading1Char"/>
    <w:uiPriority w:val="99"/>
    <w:qFormat/>
    <w:rsid w:val="00FD770B"/>
    <w:pPr>
      <w:keepNext/>
      <w:keepLines/>
      <w:spacing w:before="120" w:after="0" w:line="276" w:lineRule="auto"/>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7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469"/>
  </w:style>
  <w:style w:type="paragraph" w:styleId="NormalWeb">
    <w:name w:val="Normal (Web)"/>
    <w:basedOn w:val="Normal"/>
    <w:unhideWhenUsed/>
    <w:rsid w:val="008C74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C7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469"/>
  </w:style>
  <w:style w:type="paragraph" w:styleId="BalloonText">
    <w:name w:val="Balloon Text"/>
    <w:basedOn w:val="Normal"/>
    <w:link w:val="BalloonTextChar"/>
    <w:uiPriority w:val="99"/>
    <w:semiHidden/>
    <w:unhideWhenUsed/>
    <w:rsid w:val="008C7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469"/>
    <w:rPr>
      <w:rFonts w:ascii="Tahoma" w:hAnsi="Tahoma" w:cs="Tahoma"/>
      <w:sz w:val="16"/>
      <w:szCs w:val="16"/>
    </w:rPr>
  </w:style>
  <w:style w:type="character" w:styleId="Hyperlink">
    <w:name w:val="Hyperlink"/>
    <w:basedOn w:val="DefaultParagraphFont"/>
    <w:uiPriority w:val="99"/>
    <w:unhideWhenUsed/>
    <w:rsid w:val="00FD770B"/>
    <w:rPr>
      <w:color w:val="0000FF" w:themeColor="hyperlink"/>
      <w:u w:val="single"/>
    </w:rPr>
  </w:style>
  <w:style w:type="character" w:customStyle="1" w:styleId="Heading1Char">
    <w:name w:val="Heading 1 Char"/>
    <w:basedOn w:val="DefaultParagraphFont"/>
    <w:link w:val="Heading1"/>
    <w:uiPriority w:val="99"/>
    <w:rsid w:val="00FD770B"/>
    <w:rPr>
      <w:rFonts w:ascii="Maiandra GD" w:eastAsia="Calibri" w:hAnsi="Maiandra GD" w:cs="Times New Roman"/>
      <w:b/>
      <w:smallCaps/>
      <w:color w:val="244061"/>
      <w:sz w:val="28"/>
      <w:szCs w:val="20"/>
      <w:lang w:eastAsia="ja-JP"/>
    </w:rPr>
  </w:style>
  <w:style w:type="paragraph" w:styleId="ListParagraph">
    <w:name w:val="List Paragraph"/>
    <w:basedOn w:val="Normal"/>
    <w:uiPriority w:val="34"/>
    <w:qFormat/>
    <w:rsid w:val="00C95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uploads/system/uploads/attachment_data/file/535024/data-security-review.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mc-uk.org/guidance/ethical_guidance/confidentiality.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5091</Words>
  <Characters>29019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8</cp:revision>
  <cp:lastPrinted>2017-05-17T11:20:00Z</cp:lastPrinted>
  <dcterms:created xsi:type="dcterms:W3CDTF">2017-05-08T15:12:00Z</dcterms:created>
  <dcterms:modified xsi:type="dcterms:W3CDTF">2017-05-17T11:20:00Z</dcterms:modified>
</cp:coreProperties>
</file>